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方正仿宋_GBK" w:cs="Times New Roman"/>
          <w:sz w:val="32"/>
          <w:szCs w:val="32"/>
        </w:rPr>
      </w:pPr>
      <w:bookmarkStart w:id="0" w:name="bookmark0"/>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i w:val="0"/>
          <w:iCs w:val="0"/>
          <w:caps w:val="0"/>
          <w:color w:val="000000"/>
          <w:spacing w:val="0"/>
          <w:sz w:val="21"/>
          <w:szCs w:val="21"/>
        </w:rPr>
      </w:pPr>
      <w:bookmarkStart w:id="2" w:name="_GoBack"/>
      <w:r>
        <w:rPr>
          <w:rStyle w:val="14"/>
          <w:rFonts w:hint="eastAsia" w:ascii="宋体" w:hAnsi="宋体" w:eastAsia="宋体" w:cs="宋体"/>
          <w:i w:val="0"/>
          <w:iCs w:val="0"/>
          <w:caps w:val="0"/>
          <w:color w:val="000000"/>
          <w:spacing w:val="0"/>
          <w:sz w:val="32"/>
          <w:szCs w:val="32"/>
          <w:bdr w:val="none" w:color="auto" w:sz="0" w:space="0"/>
          <w:shd w:val="clear" w:fill="FFFFFF"/>
        </w:rPr>
        <w:t>国家能源局关于印发《风电场利用率监测统计管理办法》的通知</w:t>
      </w:r>
      <w:bookmarkEnd w:id="2"/>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i w:val="0"/>
          <w:iCs w:val="0"/>
          <w:caps w:val="0"/>
          <w:color w:val="000000"/>
          <w:spacing w:val="0"/>
          <w:sz w:val="21"/>
          <w:szCs w:val="21"/>
        </w:rPr>
      </w:pPr>
      <w:r>
        <w:rPr>
          <w:rFonts w:ascii="楷体" w:hAnsi="楷体" w:eastAsia="楷体" w:cs="楷体"/>
          <w:i w:val="0"/>
          <w:iCs w:val="0"/>
          <w:caps w:val="0"/>
          <w:color w:val="000000"/>
          <w:spacing w:val="0"/>
          <w:sz w:val="21"/>
          <w:szCs w:val="21"/>
          <w:bdr w:val="none" w:color="auto" w:sz="0" w:space="0"/>
          <w:shd w:val="clear" w:fill="FFFFFF"/>
        </w:rPr>
        <w:t>国能发新能规〔2022〕49号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各省（自治区、直辖市）能源局，有关省（自治区、直辖市）和新疆生产建设兵团发展改革委，各派出机构，国家电网、南方电网，中国华能、中国大唐、中国华电、国家电投、中国三峡集团、国家能源集团、中核集团、中广核，内蒙古电力（集团）有限公司，水电水利规划设计总院、电力规划设计总院、风能专委会：</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为进一步规范完善风电场受限电量和利用率监测统计工作，促进风电消纳和风电行业高质量发展，我们组织制定了《风电场利用率监测统计管理办法》，现印送你们，请遵照执行。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国家能源局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righ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2022年4月26日</w:t>
      </w:r>
    </w:p>
    <w:p>
      <w:pPr>
        <w:spacing w:afterLines="50"/>
        <w:jc w:val="center"/>
        <w:rPr>
          <w:rFonts w:hint="eastAsia" w:ascii="方正小标宋_GBK" w:hAnsi="宋体" w:eastAsia="方正小标宋_GBK" w:cs="Times New Roman"/>
          <w:spacing w:val="-3"/>
          <w:sz w:val="36"/>
          <w:szCs w:val="36"/>
        </w:rPr>
      </w:pPr>
    </w:p>
    <w:p>
      <w:pPr>
        <w:spacing w:afterLines="50"/>
        <w:jc w:val="center"/>
        <w:rPr>
          <w:rFonts w:hint="eastAsia" w:ascii="方正小标宋_GBK" w:hAnsi="宋体" w:eastAsia="方正小标宋_GBK" w:cs="Times New Roman"/>
          <w:spacing w:val="-3"/>
          <w:sz w:val="36"/>
          <w:szCs w:val="36"/>
        </w:rPr>
      </w:pPr>
    </w:p>
    <w:p>
      <w:pPr>
        <w:spacing w:afterLines="50"/>
        <w:jc w:val="center"/>
        <w:rPr>
          <w:rFonts w:hint="eastAsia" w:ascii="方正小标宋_GBK" w:hAnsi="宋体" w:eastAsia="方正小标宋_GBK" w:cs="Times New Roman"/>
          <w:spacing w:val="-3"/>
          <w:sz w:val="36"/>
          <w:szCs w:val="36"/>
        </w:rPr>
      </w:pPr>
    </w:p>
    <w:p>
      <w:pPr>
        <w:spacing w:afterLines="50"/>
        <w:jc w:val="center"/>
        <w:rPr>
          <w:rFonts w:hint="eastAsia" w:ascii="方正小标宋_GBK" w:hAnsi="宋体" w:eastAsia="方正小标宋_GBK" w:cs="Times New Roman"/>
          <w:spacing w:val="-3"/>
          <w:sz w:val="36"/>
          <w:szCs w:val="36"/>
        </w:rPr>
      </w:pPr>
    </w:p>
    <w:p>
      <w:pPr>
        <w:spacing w:afterLines="50"/>
        <w:jc w:val="center"/>
        <w:rPr>
          <w:rFonts w:hint="eastAsia" w:ascii="方正小标宋_GBK" w:hAnsi="宋体" w:eastAsia="方正小标宋_GBK" w:cs="Times New Roman"/>
          <w:spacing w:val="-3"/>
          <w:sz w:val="36"/>
          <w:szCs w:val="36"/>
        </w:rPr>
      </w:pPr>
    </w:p>
    <w:p>
      <w:pPr>
        <w:spacing w:afterLines="50"/>
        <w:jc w:val="center"/>
        <w:rPr>
          <w:rFonts w:hint="eastAsia" w:ascii="方正小标宋_GBK" w:hAnsi="宋体" w:eastAsia="方正小标宋_GBK" w:cs="Times New Roman"/>
          <w:spacing w:val="-3"/>
          <w:sz w:val="36"/>
          <w:szCs w:val="36"/>
        </w:rPr>
      </w:pPr>
    </w:p>
    <w:p>
      <w:pPr>
        <w:spacing w:afterLines="50"/>
        <w:jc w:val="center"/>
        <w:rPr>
          <w:rFonts w:hint="eastAsia" w:ascii="方正小标宋_GBK" w:hAnsi="宋体" w:eastAsia="方正小标宋_GBK" w:cs="Times New Roman"/>
          <w:spacing w:val="-3"/>
          <w:sz w:val="36"/>
          <w:szCs w:val="36"/>
        </w:rPr>
      </w:pPr>
    </w:p>
    <w:p>
      <w:pPr>
        <w:spacing w:afterLines="50"/>
        <w:jc w:val="center"/>
        <w:rPr>
          <w:rFonts w:hint="eastAsia" w:ascii="方正小标宋_GBK" w:hAnsi="宋体" w:eastAsia="方正小标宋_GBK" w:cs="Times New Roman"/>
          <w:spacing w:val="-3"/>
          <w:sz w:val="36"/>
          <w:szCs w:val="36"/>
        </w:rPr>
      </w:pPr>
    </w:p>
    <w:p>
      <w:pPr>
        <w:spacing w:afterLines="50"/>
        <w:jc w:val="center"/>
        <w:rPr>
          <w:rFonts w:hint="eastAsia" w:ascii="方正小标宋_GBK" w:hAnsi="宋体" w:eastAsia="方正小标宋_GBK" w:cs="Times New Roman"/>
          <w:spacing w:val="-3"/>
          <w:sz w:val="36"/>
          <w:szCs w:val="36"/>
        </w:rPr>
      </w:pPr>
    </w:p>
    <w:p>
      <w:pPr>
        <w:spacing w:afterLines="50"/>
        <w:jc w:val="center"/>
        <w:rPr>
          <w:rFonts w:ascii="方正小标宋_GBK" w:hAnsi="宋体" w:eastAsia="方正小标宋_GBK" w:cs="Times New Roman"/>
          <w:spacing w:val="-3"/>
          <w:sz w:val="36"/>
          <w:szCs w:val="36"/>
        </w:rPr>
      </w:pPr>
      <w:r>
        <w:rPr>
          <w:rFonts w:hint="eastAsia" w:ascii="方正小标宋_GBK" w:hAnsi="宋体" w:eastAsia="方正小标宋_GBK" w:cs="Times New Roman"/>
          <w:spacing w:val="-3"/>
          <w:sz w:val="36"/>
          <w:szCs w:val="36"/>
        </w:rPr>
        <w:t>风电场利用率监测统计管理办法</w:t>
      </w:r>
    </w:p>
    <w:p>
      <w:pPr>
        <w:spacing w:afterLines="50"/>
        <w:jc w:val="center"/>
        <w:rPr>
          <w:rFonts w:ascii="方正小标宋_GBK" w:hAnsi="宋体" w:eastAsia="方正小标宋_GBK" w:cs="Times New Roman"/>
          <w:spacing w:val="-3"/>
          <w:sz w:val="36"/>
          <w:szCs w:val="36"/>
        </w:rPr>
      </w:pPr>
    </w:p>
    <w:bookmarkEnd w:id="0"/>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第一条</w:t>
      </w:r>
      <w:r>
        <w:rPr>
          <w:rFonts w:ascii="Times New Roman" w:hAnsi="Times New Roman" w:eastAsia="黑体" w:cs="Times New Roman"/>
          <w:bCs/>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为进一步规范完善风电场受限电量和利用率的监测统计工作，促进风电消纳和风电行业高质量发展，制定本办法。</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第二条</w:t>
      </w:r>
      <w:r>
        <w:rPr>
          <w:rFonts w:ascii="Times New Roman" w:hAnsi="Times New Roman" w:eastAsia="黑体" w:cs="Times New Roman"/>
          <w:bCs/>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本办法适用于全国各级电网企业及并网风电场。</w:t>
      </w:r>
    </w:p>
    <w:p>
      <w:pPr>
        <w:snapToGrid w:val="0"/>
        <w:spacing w:line="588" w:lineRule="exact"/>
        <w:ind w:firstLine="640" w:firstLineChars="200"/>
        <w:rPr>
          <w:rFonts w:ascii="方正仿宋_GBK" w:hAnsi="Times New Roman" w:eastAsia="方正仿宋_GBK"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第三条</w:t>
      </w:r>
      <w:r>
        <w:rPr>
          <w:rFonts w:ascii="Times New Roman" w:hAnsi="Times New Roman" w:eastAsia="黑体" w:cs="Times New Roman"/>
          <w:bCs/>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本办法中风电场受限电量是指排除场内设备故障、缺陷或检修等自身原因影响后，风电场可发而未发出的电量。</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第四条</w:t>
      </w:r>
      <w:r>
        <w:rPr>
          <w:rFonts w:ascii="Times New Roman" w:hAnsi="Times New Roman" w:eastAsia="黑体" w:cs="Times New Roman"/>
          <w:bCs/>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风电企业应在风电场开发建设、运行等方面，电网企业应在电网规划建设和调度运行管理等方面，分别落实有效措施，共同促进风电消纳。风电场出力受限时，风电企业和电网企业应相互配合做好受限电量统计工作。</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第五条</w:t>
      </w:r>
      <w:r>
        <w:rPr>
          <w:rFonts w:ascii="Times New Roman" w:hAnsi="Times New Roman" w:eastAsia="黑体" w:cs="Times New Roman"/>
          <w:bCs/>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bCs/>
          <w:color w:val="000000" w:themeColor="text1"/>
          <w:sz w:val="32"/>
          <w:szCs w:val="32"/>
          <w14:textFill>
            <w14:solidFill>
              <w14:schemeClr w14:val="tx1"/>
            </w14:solidFill>
          </w14:textFill>
        </w:rPr>
        <w:t>风电场每日</w:t>
      </w:r>
      <w:r>
        <w:rPr>
          <w:rFonts w:hint="eastAsia" w:ascii="Times New Roman" w:hAnsi="Times New Roman" w:eastAsia="方正仿宋_GBK" w:cs="Times New Roman"/>
          <w:color w:val="000000" w:themeColor="text1"/>
          <w:sz w:val="32"/>
          <w:szCs w:val="32"/>
          <w14:textFill>
            <w14:solidFill>
              <w14:schemeClr w14:val="tx1"/>
            </w14:solidFill>
          </w14:textFill>
        </w:rPr>
        <w:t>受限电量按如下公式计算：</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受限电量</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受限时段风电场可用机组可发电量－受限时段风电场实发电量</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其中，风电场可用机组可发电量指风电场内除受场内设备故障、缺陷或检修等因素影响风电机组外，剩余可用风电机组在所处自然条件和设备状态下（不考虑电力系统运行因素影响），在相应时间内理论上可发出的电量。</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系统原因受限电量</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受限电量－特殊原因受限电量</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其中，系统原因受限电量是指风电场受电力系统用电负荷及调峰能力、网架约束、安全稳定运行等因素影响可发而未能发出的电量。</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特殊原因受限电量包括以下情况：</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（一）因台风、地震、洪水、覆冰、泥石流等不可抗因素导致的风电场出力受限；</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（二）风电场处于并网调试阶段或自动发电控制系统（</w:t>
      </w:r>
      <w:r>
        <w:rPr>
          <w:rFonts w:ascii="Times New Roman" w:hAnsi="Times New Roman" w:eastAsia="方正仿宋_GBK" w:cs="Times New Roman"/>
          <w:color w:val="000000" w:themeColor="text1"/>
          <w:sz w:val="32"/>
          <w:szCs w:val="32"/>
          <w14:textFill>
            <w14:solidFill>
              <w14:schemeClr w14:val="tx1"/>
            </w14:solidFill>
          </w14:textFill>
        </w:rPr>
        <w:t>AGC</w:t>
      </w:r>
      <w:r>
        <w:rPr>
          <w:rFonts w:hint="eastAsia" w:ascii="Times New Roman" w:hAnsi="Times New Roman" w:eastAsia="方正仿宋_GBK" w:cs="Times New Roman"/>
          <w:color w:val="000000" w:themeColor="text1"/>
          <w:sz w:val="32"/>
          <w:szCs w:val="32"/>
          <w14:textFill>
            <w14:solidFill>
              <w14:schemeClr w14:val="tx1"/>
            </w14:solidFill>
          </w14:textFill>
        </w:rPr>
        <w:t>）测试阶段、风电场以临时方案接入系统时输送功率超过输变电设备送电极限、风电场出力超出场站并网调度协议载明的装机容量等情况下造成的出力受限；</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（三）风电场由于并网技术条件不满足相关标准要求，或违反并网管理要求等原因进行整改造成的出力受限；</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（四）由于风电场送出输变电设备正常计划检修造成的出力受限；</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（五）市场化方式并网风电场因未落实并网条件导致的出力受限；</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（六）风电场因市场化交易决策不当导致的出力受限；</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（七）因风电场外重大工程施工、重大社会活动、执行特殊保电任务导致的出力受限。</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多种特殊原因同时产生受限电量时，统计时按照主要原因归纳为上述某一类情况。</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第六条</w:t>
      </w:r>
      <w:r>
        <w:rPr>
          <w:rFonts w:ascii="Times New Roman" w:hAnsi="Times New Roman" w:eastAsia="黑体" w:cs="Times New Roman"/>
          <w:bCs/>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风电受限电量计算方法主要釆用机舱风速法，</w:t>
      </w:r>
      <w:r>
        <w:rPr>
          <w:rFonts w:hint="eastAsia" w:ascii="Times New Roman" w:hAnsi="Times New Roman" w:eastAsia="方正仿宋_GBK" w:cs="Times New Roman"/>
          <w:color w:val="000000" w:themeColor="text1"/>
          <w:sz w:val="32"/>
          <w:szCs w:val="32"/>
          <w:u w:val="none"/>
          <w14:textFill>
            <w14:solidFill>
              <w14:schemeClr w14:val="tx1"/>
            </w14:solidFill>
          </w14:textFill>
        </w:rPr>
        <w:t>各地区风电场根据设备条件差异</w:t>
      </w:r>
      <w:r>
        <w:rPr>
          <w:rFonts w:hint="eastAsia" w:ascii="Times New Roman" w:hAnsi="Times New Roman" w:eastAsia="方正仿宋_GBK" w:cs="Times New Roman"/>
          <w:color w:val="000000" w:themeColor="text1"/>
          <w:sz w:val="32"/>
          <w:szCs w:val="32"/>
          <w14:textFill>
            <w14:solidFill>
              <w14:schemeClr w14:val="tx1"/>
            </w14:solidFill>
          </w14:textFill>
        </w:rPr>
        <w:t>也可结合实际釆用样板机法、测风塔外推法等其他经过验证的计算方法；具体可由风电企业与所属电网调度机构协商确定。</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机舱风速法是指基于风电机组实际风速</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功率曲线，通过实测的机舱风速得出风机理论发电功率，进而计算风电场受限电量的方法。样板机法是指根据风电场风机地理位置和地势分布，在选定一定数量“样板机”（一般不超过风电场全部风机数量的</w:t>
      </w:r>
      <w:r>
        <w:rPr>
          <w:rFonts w:ascii="Times New Roman" w:hAnsi="Times New Roman" w:eastAsia="方正仿宋_GBK" w:cs="Times New Roman"/>
          <w:color w:val="000000" w:themeColor="text1"/>
          <w:sz w:val="32"/>
          <w:szCs w:val="32"/>
          <w14:textFill>
            <w14:solidFill>
              <w14:schemeClr w14:val="tx1"/>
            </w14:solidFill>
          </w14:textFill>
        </w:rPr>
        <w:t>10%</w:t>
      </w:r>
      <w:r>
        <w:rPr>
          <w:rFonts w:hint="eastAsia" w:ascii="Times New Roman" w:hAnsi="Times New Roman" w:eastAsia="方正仿宋_GBK" w:cs="Times New Roman"/>
          <w:color w:val="000000" w:themeColor="text1"/>
          <w:sz w:val="32"/>
          <w:szCs w:val="32"/>
          <w14:textFill>
            <w14:solidFill>
              <w14:schemeClr w14:val="tx1"/>
            </w14:solidFill>
          </w14:textFill>
        </w:rPr>
        <w:t>，“样板机”不限电）基础上，通过“样板机”电量推算得出限电风机理论发电功率，进而计算受限电量的方法。测风塔外推法是在测风塔优化选址基础上，根据风电场所处区域的地形、地貌，采用微观气象学、计算流体力学理论，将测风塔风速、风向推算至风电场每台风机轮毂高度处的风速、风向，并通过风速</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功率曲线得出风机理论发电功率，进而计算受限电量的方法。</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第七条</w:t>
      </w:r>
      <w:r>
        <w:rPr>
          <w:rFonts w:ascii="Times New Roman" w:hAnsi="Times New Roman" w:eastAsia="黑体" w:cs="Times New Roman"/>
          <w:bCs/>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风电场受限时段以电力调度机构下达限电指令和解除限电指令时间为准，或以调度自动化系统自动控制时段为准。电力调度机构和风电场均应准确记录限电时间、出力限值和原因。</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黑体" w:hAnsi="Times New Roman" w:eastAsia="黑体" w:cs="Times New Roman"/>
          <w:color w:val="000000" w:themeColor="text1"/>
          <w:sz w:val="32"/>
          <w:szCs w:val="32"/>
          <w14:textFill>
            <w14:solidFill>
              <w14:schemeClr w14:val="tx1"/>
            </w14:solidFill>
          </w14:textFill>
        </w:rPr>
        <w:t>第八条</w:t>
      </w:r>
      <w:r>
        <w:rPr>
          <w:rFonts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风电场定期向电力调度机构提供风电场受限电量计算所需的基础数据和满足质量、精度要求的实时运行数据。电力调度机构定期对风电场所提供数据的准确性、合理性进行校核。电力调度机构和风电场定期在风电场出力不受限时段（不少于</w:t>
      </w:r>
      <w:r>
        <w:rPr>
          <w:rFonts w:ascii="Times New Roman" w:hAnsi="Times New Roman" w:eastAsia="方正仿宋_GBK" w:cs="Times New Roman"/>
          <w:color w:val="000000" w:themeColor="text1"/>
          <w:sz w:val="32"/>
          <w:szCs w:val="32"/>
          <w14:textFill>
            <w14:solidFill>
              <w14:schemeClr w14:val="tx1"/>
            </w14:solidFill>
          </w14:textFill>
        </w:rPr>
        <w:t>6</w:t>
      </w:r>
      <w:r>
        <w:rPr>
          <w:rFonts w:hint="eastAsia" w:ascii="Times New Roman" w:hAnsi="Times New Roman" w:eastAsia="方正仿宋_GBK" w:cs="Times New Roman"/>
          <w:color w:val="000000" w:themeColor="text1"/>
          <w:sz w:val="32"/>
          <w:szCs w:val="32"/>
          <w14:textFill>
            <w14:solidFill>
              <w14:schemeClr w14:val="tx1"/>
            </w14:solidFill>
          </w14:textFill>
        </w:rPr>
        <w:t>小时）对所采用计算方法的准确性进行测试，偏差较大时应及时调整相关方法策略。</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黑体" w:cs="Times New Roman"/>
          <w:sz w:val="32"/>
          <w:szCs w:val="32"/>
        </w:rPr>
        <w:t>第九条</w:t>
      </w:r>
      <w:r>
        <w:rPr>
          <w:rFonts w:ascii="Times New Roman" w:hAnsi="Times New Roman" w:eastAsia="黑体"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风电场利用率和地区风电利用率区分两种情况按如下公式计算：</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（一）考虑全部原因受限电量情况</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风电场利用率</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风电场实际发电量</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风电场可用机组可发电量</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地区风电利用率</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∑风电场实际发电量</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∑风电场可用机组可发电量</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（二）仅考虑系统原因受限电量情况</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风电场利用率</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（风电场可用机组可发电量－系统原因受限电量）</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风电场可用机组可发电量</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地区风电利用率</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∑（风电场可用机组可发电量－系统原因受限电量）</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∑风电场可用机组可发电量</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第十条</w:t>
      </w:r>
      <w:r>
        <w:rPr>
          <w:rFonts w:ascii="Times New Roman" w:hAnsi="Times New Roman" w:eastAsia="黑体" w:cs="Times New Roman"/>
          <w:bCs/>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风电场发电数据报送以单个风电场为单元。各风电场于每月</w:t>
      </w:r>
      <w:r>
        <w:rPr>
          <w:rFonts w:ascii="Times New Roman" w:hAnsi="Times New Roman" w:eastAsia="方正仿宋_GBK" w:cs="Times New Roman"/>
          <w:color w:val="000000" w:themeColor="text1"/>
          <w:sz w:val="32"/>
          <w:szCs w:val="32"/>
          <w14:textFill>
            <w14:solidFill>
              <w14:schemeClr w14:val="tx1"/>
            </w14:solidFill>
          </w14:textFill>
        </w:rPr>
        <w:t>5</w:t>
      </w:r>
      <w:r>
        <w:rPr>
          <w:rFonts w:hint="eastAsia" w:ascii="Times New Roman" w:hAnsi="Times New Roman" w:eastAsia="方正仿宋_GBK" w:cs="Times New Roman"/>
          <w:color w:val="000000" w:themeColor="text1"/>
          <w:sz w:val="32"/>
          <w:szCs w:val="32"/>
          <w14:textFill>
            <w14:solidFill>
              <w14:schemeClr w14:val="tx1"/>
            </w14:solidFill>
          </w14:textFill>
        </w:rPr>
        <w:t>日前将风电场上月月度发电信息表（附件</w:t>
      </w: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）报送至相应电力调度机构，同时在国家可再生能源信息管理平台和全国新能源电力消纳监测预警平台填报。</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第十一条</w:t>
      </w:r>
      <w:r>
        <w:rPr>
          <w:rFonts w:ascii="Times New Roman" w:hAnsi="Times New Roman" w:eastAsia="黑体" w:cs="Times New Roman"/>
          <w:bCs/>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省级电网企业对其调度机构调度范围内风电场每月报送数据进行汇总、整理、分析和校核，在每月</w:t>
      </w:r>
      <w:r>
        <w:rPr>
          <w:rFonts w:ascii="Times New Roman" w:hAnsi="Times New Roman" w:eastAsia="方正仿宋_GBK" w:cs="Times New Roman"/>
          <w:color w:val="000000" w:themeColor="text1"/>
          <w:sz w:val="32"/>
          <w:szCs w:val="32"/>
          <w14:textFill>
            <w14:solidFill>
              <w14:schemeClr w14:val="tx1"/>
            </w14:solidFill>
          </w14:textFill>
        </w:rPr>
        <w:t>15</w:t>
      </w:r>
      <w:r>
        <w:rPr>
          <w:rFonts w:hint="eastAsia" w:ascii="Times New Roman" w:hAnsi="Times New Roman" w:eastAsia="方正仿宋_GBK" w:cs="Times New Roman"/>
          <w:color w:val="000000" w:themeColor="text1"/>
          <w:sz w:val="32"/>
          <w:szCs w:val="32"/>
          <w14:textFill>
            <w14:solidFill>
              <w14:schemeClr w14:val="tx1"/>
            </w14:solidFill>
          </w14:textFill>
        </w:rPr>
        <w:t>日前向国家能源局当地派出机构报送各省（区、市）风电场月度发电信息报表（附件</w:t>
      </w: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Times New Roman" w:hAnsi="Times New Roman" w:eastAsia="方正仿宋_GBK" w:cs="Times New Roman"/>
          <w:color w:val="000000" w:themeColor="text1"/>
          <w:sz w:val="32"/>
          <w:szCs w:val="32"/>
          <w14:textFill>
            <w14:solidFill>
              <w14:schemeClr w14:val="tx1"/>
            </w14:solidFill>
          </w14:textFill>
        </w:rPr>
        <w:t>），同时在国家可再生能源信息管理平台和全国新能源电力消纳监测预警平台填报，并向其调度机构调度范围内各风电场披露。</w:t>
      </w:r>
    </w:p>
    <w:p>
      <w:pPr>
        <w:snapToGrid w:val="0"/>
        <w:spacing w:line="588"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第十二条</w:t>
      </w:r>
      <w:r>
        <w:rPr>
          <w:rFonts w:ascii="Times New Roman" w:hAnsi="Times New Roman" w:eastAsia="黑体"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风电场如对省级电网企业每月披露结果存在异议，可及时联系相应电力调度机构进行校验修正，并向电力调度机构提供相关依据；对校验修正结果仍有异议的，可申请国家能源局当地派出机构督促进一步校核。</w:t>
      </w:r>
    </w:p>
    <w:p>
      <w:pPr>
        <w:snapToGrid w:val="0"/>
        <w:spacing w:line="588" w:lineRule="exact"/>
        <w:ind w:firstLine="640" w:firstLineChars="200"/>
        <w:rPr>
          <w:rFonts w:ascii="Times New Roman" w:hAnsi="Times New Roman" w:eastAsia="方正仿宋_GBK" w:cs="Times New Roman"/>
          <w:color w:val="000000" w:themeColor="text1"/>
          <w:sz w:val="30"/>
          <w:szCs w:val="30"/>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第十三条</w:t>
      </w:r>
      <w:r>
        <w:rPr>
          <w:rFonts w:ascii="Times New Roman" w:hAnsi="Times New Roman" w:eastAsia="黑体" w:cs="Times New Roman"/>
          <w:bCs/>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国家能源局派出机构对风电企业、电网企业执行本办法的相关情况开展监督检查，并依照有关法规对违规行为予以处理。</w:t>
      </w:r>
    </w:p>
    <w:p>
      <w:pPr>
        <w:spacing w:line="588" w:lineRule="exact"/>
        <w:ind w:firstLine="628" w:firstLineChars="200"/>
        <w:rPr>
          <w:rFonts w:eastAsia="仿宋_GB2312"/>
          <w:sz w:val="32"/>
          <w:szCs w:val="32"/>
        </w:rPr>
      </w:pPr>
      <w:r>
        <w:rPr>
          <w:rFonts w:hint="eastAsia" w:eastAsia="黑体"/>
          <w:spacing w:val="-3"/>
          <w:sz w:val="32"/>
          <w:szCs w:val="32"/>
        </w:rPr>
        <w:t>第十四条</w:t>
      </w:r>
      <w:r>
        <w:rPr>
          <w:rFonts w:hint="eastAsia" w:eastAsia="方正黑体_GBK"/>
          <w:sz w:val="32"/>
          <w:szCs w:val="32"/>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相关单位应严格按照本办法计算风电场消纳情况，如实完整报送统计数据，未按要求报送、弄虚作假、谎报、瞒报的，由国家能源局派出机构按照《电力监管条例》有关规定进行处理。</w:t>
      </w:r>
    </w:p>
    <w:p>
      <w:pPr>
        <w:spacing w:line="588" w:lineRule="exact"/>
        <w:ind w:firstLine="628" w:firstLineChars="200"/>
        <w:rPr>
          <w:rFonts w:ascii="Times New Roman" w:hAnsi="Times New Roman" w:eastAsia="方正仿宋_GBK" w:cs="Times New Roman"/>
          <w:color w:val="000000" w:themeColor="text1"/>
          <w:spacing w:val="0"/>
          <w:sz w:val="32"/>
          <w:szCs w:val="32"/>
          <w14:textFill>
            <w14:solidFill>
              <w14:schemeClr w14:val="tx1"/>
            </w14:solidFill>
          </w14:textFill>
        </w:rPr>
      </w:pPr>
      <w:r>
        <w:rPr>
          <w:rFonts w:hint="eastAsia" w:eastAsia="黑体"/>
          <w:spacing w:val="-3"/>
          <w:sz w:val="32"/>
          <w:szCs w:val="32"/>
        </w:rPr>
        <w:t>第十五条</w:t>
      </w:r>
      <w:r>
        <w:rPr>
          <w:rFonts w:hint="eastAsia" w:eastAsia="仿宋_GB2312"/>
          <w:spacing w:val="-3"/>
          <w:sz w:val="32"/>
          <w:szCs w:val="32"/>
        </w:rPr>
        <w:t xml:space="preserve"> </w:t>
      </w:r>
      <w:r>
        <w:rPr>
          <w:rFonts w:hint="eastAsia" w:ascii="Times New Roman" w:hAnsi="Times New Roman" w:eastAsia="方正仿宋_GBK" w:cs="Times New Roman"/>
          <w:color w:val="000000" w:themeColor="text1"/>
          <w:spacing w:val="0"/>
          <w:sz w:val="32"/>
          <w:szCs w:val="32"/>
          <w14:textFill>
            <w14:solidFill>
              <w14:schemeClr w14:val="tx1"/>
            </w14:solidFill>
          </w14:textFill>
        </w:rPr>
        <w:t>国家能源局组织全国新能源消纳监测预警中心按月监测、按季评估，滚动公布各省级区域风电场消纳情况。</w:t>
      </w:r>
    </w:p>
    <w:p>
      <w:pPr>
        <w:snapToGrid w:val="0"/>
        <w:spacing w:line="588" w:lineRule="exact"/>
        <w:ind w:firstLine="628"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eastAsia="黑体"/>
          <w:spacing w:val="-3"/>
          <w:sz w:val="32"/>
          <w:szCs w:val="32"/>
        </w:rPr>
        <w:t>第十六条</w:t>
      </w:r>
      <w:r>
        <w:rPr>
          <w:rFonts w:hint="eastAsia" w:eastAsia="仿宋_GB2312"/>
          <w:spacing w:val="-3"/>
          <w:sz w:val="32"/>
          <w:szCs w:val="32"/>
        </w:rPr>
        <w:t xml:space="preserve"> </w:t>
      </w:r>
      <w:r>
        <w:rPr>
          <w:rFonts w:hint="eastAsia" w:ascii="Times New Roman" w:hAnsi="Times New Roman" w:eastAsia="方正仿宋_GBK" w:cs="Times New Roman"/>
          <w:color w:val="000000" w:themeColor="text1"/>
          <w:spacing w:val="0"/>
          <w:sz w:val="32"/>
          <w:szCs w:val="32"/>
          <w14:textFill>
            <w14:solidFill>
              <w14:schemeClr w14:val="tx1"/>
            </w14:solidFill>
          </w14:textFill>
        </w:rPr>
        <w:t>风电场消纳情况发布需遵循国家相关法律法规和保密规定。</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第十</w:t>
      </w:r>
      <w:r>
        <w:rPr>
          <w:rFonts w:hint="eastAsia" w:ascii="Times New Roman" w:hAnsi="Times New Roman" w:eastAsia="黑体" w:cs="Times New Roman"/>
          <w:bCs/>
          <w:color w:val="000000" w:themeColor="text1"/>
          <w:sz w:val="30"/>
          <w:szCs w:val="30"/>
          <w14:textFill>
            <w14:solidFill>
              <w14:schemeClr w14:val="tx1"/>
            </w14:solidFill>
          </w14:textFill>
        </w:rPr>
        <w:t>七</w:t>
      </w:r>
      <w:r>
        <w:rPr>
          <w:rFonts w:hint="eastAsia" w:ascii="Times New Roman" w:hAnsi="Times New Roman" w:eastAsia="黑体" w:cs="Times New Roman"/>
          <w:bCs/>
          <w:color w:val="000000" w:themeColor="text1"/>
          <w:sz w:val="32"/>
          <w:szCs w:val="32"/>
          <w14:textFill>
            <w14:solidFill>
              <w14:schemeClr w14:val="tx1"/>
            </w14:solidFill>
          </w14:textFill>
        </w:rPr>
        <w:t>条</w:t>
      </w:r>
      <w:r>
        <w:rPr>
          <w:rFonts w:ascii="Times New Roman" w:hAnsi="Times New Roman" w:eastAsia="黑体" w:cs="Times New Roman"/>
          <w:bCs/>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国家能源局派出机构可依据本办法制定当地实施细则。</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第十</w:t>
      </w:r>
      <w:r>
        <w:rPr>
          <w:rFonts w:hint="eastAsia" w:ascii="Times New Roman" w:hAnsi="Times New Roman" w:eastAsia="黑体" w:cs="Times New Roman"/>
          <w:bCs/>
          <w:color w:val="000000" w:themeColor="text1"/>
          <w:sz w:val="30"/>
          <w:szCs w:val="30"/>
          <w14:textFill>
            <w14:solidFill>
              <w14:schemeClr w14:val="tx1"/>
            </w14:solidFill>
          </w14:textFill>
        </w:rPr>
        <w:t>八</w:t>
      </w:r>
      <w:r>
        <w:rPr>
          <w:rFonts w:hint="eastAsia" w:ascii="Times New Roman" w:hAnsi="Times New Roman" w:eastAsia="黑体" w:cs="Times New Roman"/>
          <w:bCs/>
          <w:color w:val="000000" w:themeColor="text1"/>
          <w:sz w:val="32"/>
          <w:szCs w:val="32"/>
          <w14:textFill>
            <w14:solidFill>
              <w14:schemeClr w14:val="tx1"/>
            </w14:solidFill>
          </w14:textFill>
        </w:rPr>
        <w:t>条</w:t>
      </w:r>
      <w:r>
        <w:rPr>
          <w:rFonts w:hint="eastAsia" w:ascii="Times New Roman" w:hAnsi="Times New Roman" w:eastAsia="黑体" w:cs="Times New Roman"/>
          <w:bCs/>
          <w:color w:val="000000" w:themeColor="text1"/>
          <w:sz w:val="30"/>
          <w:szCs w:val="30"/>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本办法由国家能源局负责解释，自发布之日起施行，有效期暂定为5年，原《风电场弃风电量计算办法（试行）》（办输电〔</w:t>
      </w:r>
      <w:r>
        <w:rPr>
          <w:rFonts w:ascii="Times New Roman" w:hAnsi="Times New Roman" w:eastAsia="方正仿宋_GBK" w:cs="Times New Roman"/>
          <w:color w:val="000000" w:themeColor="text1"/>
          <w:sz w:val="32"/>
          <w:szCs w:val="32"/>
          <w14:textFill>
            <w14:solidFill>
              <w14:schemeClr w14:val="tx1"/>
            </w14:solidFill>
          </w14:textFill>
        </w:rPr>
        <w:t>2012</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154</w:t>
      </w:r>
      <w:r>
        <w:rPr>
          <w:rFonts w:hint="eastAsia" w:ascii="Times New Roman" w:hAnsi="Times New Roman" w:eastAsia="方正仿宋_GBK" w:cs="Times New Roman"/>
          <w:color w:val="000000" w:themeColor="text1"/>
          <w:sz w:val="32"/>
          <w:szCs w:val="32"/>
          <w14:textFill>
            <w14:solidFill>
              <w14:schemeClr w14:val="tx1"/>
            </w14:solidFill>
          </w14:textFill>
        </w:rPr>
        <w:t>号）同时废止。</w:t>
      </w: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snapToGrid w:val="0"/>
        <w:spacing w:line="588" w:lineRule="exact"/>
        <w:jc w:val="left"/>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 xml:space="preserve">    附件：1. </w:t>
      </w:r>
      <w:r>
        <w:rPr>
          <w:rFonts w:ascii="Times New Roman" w:hAnsi="Times New Roman" w:eastAsia="方正仿宋_GBK" w:cs="Times New Roman"/>
          <w:color w:val="000000" w:themeColor="text1"/>
          <w:sz w:val="32"/>
          <w:szCs w:val="32"/>
          <w14:textFill>
            <w14:solidFill>
              <w14:schemeClr w14:val="tx1"/>
            </w14:solidFill>
          </w14:textFill>
        </w:rPr>
        <w:t>XX</w:t>
      </w:r>
      <w:r>
        <w:rPr>
          <w:rFonts w:hint="eastAsia" w:ascii="Times New Roman" w:hAnsi="Times New Roman" w:eastAsia="方正仿宋_GBK" w:cs="Times New Roman"/>
          <w:color w:val="000000" w:themeColor="text1"/>
          <w:sz w:val="32"/>
          <w:szCs w:val="32"/>
          <w14:textFill>
            <w14:solidFill>
              <w14:schemeClr w14:val="tx1"/>
            </w14:solidFill>
          </w14:textFill>
        </w:rPr>
        <w:t>风电场月度发电信息表</w:t>
      </w:r>
    </w:p>
    <w:p>
      <w:pPr>
        <w:snapToGrid w:val="0"/>
        <w:spacing w:line="588"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2. XX</w:t>
      </w:r>
      <w:r>
        <w:rPr>
          <w:rFonts w:hint="eastAsia" w:ascii="Times New Roman" w:hAnsi="Times New Roman" w:eastAsia="方正仿宋_GBK" w:cs="Times New Roman"/>
          <w:color w:val="000000" w:themeColor="text1"/>
          <w:sz w:val="32"/>
          <w:szCs w:val="32"/>
          <w14:textFill>
            <w14:solidFill>
              <w14:schemeClr w14:val="tx1"/>
            </w14:solidFill>
          </w14:textFill>
        </w:rPr>
        <w:t>省（区、市）风电月度发电信息表</w:t>
      </w:r>
    </w:p>
    <w:p>
      <w:pPr>
        <w:snapToGrid w:val="0"/>
        <w:spacing w:line="360" w:lineRule="exact"/>
        <w:jc w:val="left"/>
        <w:rPr>
          <w:rFonts w:ascii="方正小标宋_GBK" w:hAnsi="Times New Roman" w:eastAsia="方正小标宋_GBK" w:cs="Times New Roman"/>
          <w:color w:val="000000" w:themeColor="text1"/>
          <w:sz w:val="32"/>
          <w:szCs w:val="32"/>
          <w14:textFill>
            <w14:solidFill>
              <w14:schemeClr w14:val="tx1"/>
            </w14:solidFill>
          </w14:textFill>
        </w:rPr>
      </w:pP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snapToGrid w:val="0"/>
        <w:spacing w:line="588"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pPr>
        <w:snapToGrid w:val="0"/>
        <w:jc w:val="left"/>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附件</w:t>
      </w:r>
      <w:r>
        <w:rPr>
          <w:rFonts w:ascii="黑体" w:hAnsi="黑体" w:eastAsia="黑体" w:cs="Times New Roman"/>
          <w:color w:val="000000" w:themeColor="text1"/>
          <w:sz w:val="32"/>
          <w:szCs w:val="32"/>
          <w14:textFill>
            <w14:solidFill>
              <w14:schemeClr w14:val="tx1"/>
            </w14:solidFill>
          </w14:textFill>
        </w:rPr>
        <w:t>1</w:t>
      </w:r>
    </w:p>
    <w:p>
      <w:pPr>
        <w:snapToGrid w:val="0"/>
        <w:spacing w:line="360" w:lineRule="exact"/>
        <w:jc w:val="center"/>
        <w:rPr>
          <w:rFonts w:ascii="方正小标宋_GBK" w:hAnsi="Times New Roman" w:eastAsia="方正小标宋_GBK" w:cs="Times New Roman"/>
          <w:color w:val="000000" w:themeColor="text1"/>
          <w:sz w:val="32"/>
          <w:szCs w:val="32"/>
          <w14:textFill>
            <w14:solidFill>
              <w14:schemeClr w14:val="tx1"/>
            </w14:solidFill>
          </w14:textFill>
        </w:rPr>
      </w:pPr>
    </w:p>
    <w:p>
      <w:pPr>
        <w:snapToGrid w:val="0"/>
        <w:spacing w:line="360" w:lineRule="exact"/>
        <w:jc w:val="center"/>
        <w:rPr>
          <w:rFonts w:ascii="方正小标宋_GBK" w:hAnsi="Times New Roman" w:eastAsia="方正小标宋_GBK" w:cs="Times New Roman"/>
          <w:color w:val="000000" w:themeColor="text1"/>
          <w:sz w:val="32"/>
          <w:szCs w:val="32"/>
          <w14:textFill>
            <w14:solidFill>
              <w14:schemeClr w14:val="tx1"/>
            </w14:solidFill>
          </w14:textFill>
        </w:rPr>
      </w:pPr>
      <w:r>
        <w:rPr>
          <w:rFonts w:hint="eastAsia" w:ascii="方正小标宋_GBK" w:hAnsi="Times New Roman" w:eastAsia="方正小标宋_GBK" w:cs="Times New Roman"/>
          <w:color w:val="000000" w:themeColor="text1"/>
          <w:sz w:val="32"/>
          <w:szCs w:val="32"/>
          <w14:textFill>
            <w14:solidFill>
              <w14:schemeClr w14:val="tx1"/>
            </w14:solidFill>
          </w14:textFill>
        </w:rPr>
        <w:t>XX风电场</w:t>
      </w:r>
      <w:bookmarkStart w:id="1" w:name="_Hlk78806490"/>
      <w:r>
        <w:rPr>
          <w:rFonts w:hint="eastAsia" w:ascii="方正小标宋_GBK" w:hAnsi="Times New Roman" w:eastAsia="方正小标宋_GBK" w:cs="Times New Roman"/>
          <w:color w:val="000000" w:themeColor="text1"/>
          <w:sz w:val="32"/>
          <w:szCs w:val="32"/>
          <w14:textFill>
            <w14:solidFill>
              <w14:schemeClr w14:val="tx1"/>
            </w14:solidFill>
          </w14:textFill>
        </w:rPr>
        <w:t>月度发电信息表</w:t>
      </w:r>
      <w:bookmarkEnd w:id="1"/>
    </w:p>
    <w:p>
      <w:pPr>
        <w:snapToGrid w:val="0"/>
        <w:spacing w:line="360" w:lineRule="exact"/>
        <w:jc w:val="center"/>
        <w:rPr>
          <w:rFonts w:ascii="方正小标宋_GBK" w:hAnsi="Times New Roman" w:eastAsia="方正小标宋_GBK" w:cs="Times New Roman"/>
          <w:color w:val="000000" w:themeColor="text1"/>
          <w:sz w:val="32"/>
          <w:szCs w:val="32"/>
          <w14:textFill>
            <w14:solidFill>
              <w14:schemeClr w14:val="tx1"/>
            </w14:solidFill>
          </w14:textFill>
        </w:rPr>
      </w:pPr>
      <w:r>
        <w:rPr>
          <w:rFonts w:ascii="方正小标宋_GBK" w:hAnsi="Times New Roman" w:eastAsia="方正小标宋_GBK" w:cs="Times New Roman"/>
          <w:color w:val="000000" w:themeColor="text1"/>
          <w:sz w:val="32"/>
          <w:szCs w:val="32"/>
          <w14:textFill>
            <w14:solidFill>
              <w14:schemeClr w14:val="tx1"/>
            </w14:solidFill>
          </w14:textFill>
        </w:rPr>
        <w:t>XX</w:t>
      </w:r>
      <w:r>
        <w:rPr>
          <w:rFonts w:hint="eastAsia" w:ascii="方正小标宋_GBK" w:hAnsi="Times New Roman" w:eastAsia="方正小标宋_GBK" w:cs="Times New Roman"/>
          <w:color w:val="000000" w:themeColor="text1"/>
          <w:sz w:val="32"/>
          <w:szCs w:val="32"/>
          <w14:textFill>
            <w14:solidFill>
              <w14:schemeClr w14:val="tx1"/>
            </w14:solidFill>
          </w14:textFill>
        </w:rPr>
        <w:t>XX年XX月</w:t>
      </w:r>
    </w:p>
    <w:p>
      <w:pPr>
        <w:wordWrap w:val="0"/>
        <w:snapToGrid w:val="0"/>
        <w:jc w:val="right"/>
        <w:rPr>
          <w:rFonts w:ascii="方正小标宋_GBK" w:hAnsi="Times New Roman" w:eastAsia="方正小标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单位：万千瓦时、万千瓦</w:t>
      </w:r>
      <w:r>
        <w:rPr>
          <w:rFonts w:ascii="Times New Roman" w:hAnsi="Times New Roman" w:eastAsia="方正仿宋_GBK" w:cs="Times New Roman"/>
          <w:color w:val="000000" w:themeColor="text1"/>
          <w:sz w:val="32"/>
          <w:szCs w:val="32"/>
          <w14:textFill>
            <w14:solidFill>
              <w14:schemeClr w14:val="tx1"/>
            </w14:solidFill>
          </w14:textFill>
        </w:rPr>
        <w:t xml:space="preserve">            </w:t>
      </w:r>
    </w:p>
    <w:tbl>
      <w:tblPr>
        <w:tblStyle w:val="12"/>
        <w:tblW w:w="44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672"/>
        <w:gridCol w:w="672"/>
        <w:gridCol w:w="677"/>
        <w:gridCol w:w="723"/>
        <w:gridCol w:w="1741"/>
        <w:gridCol w:w="1285"/>
        <w:gridCol w:w="1155"/>
        <w:gridCol w:w="1005"/>
        <w:gridCol w:w="1232"/>
        <w:gridCol w:w="99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64" w:type="pct"/>
            <w:vMerge w:val="restart"/>
            <w:vAlign w:val="center"/>
          </w:tcPr>
          <w:p>
            <w:pPr>
              <w:snapToGrid w:val="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电站名称</w:t>
            </w:r>
          </w:p>
        </w:tc>
        <w:tc>
          <w:tcPr>
            <w:tcW w:w="794" w:type="pct"/>
            <w:gridSpan w:val="3"/>
            <w:vAlign w:val="center"/>
          </w:tcPr>
          <w:p>
            <w:pPr>
              <w:snapToGrid w:val="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项目所在地</w:t>
            </w:r>
          </w:p>
        </w:tc>
        <w:tc>
          <w:tcPr>
            <w:tcW w:w="284"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并网容量</w:t>
            </w:r>
          </w:p>
        </w:tc>
        <w:tc>
          <w:tcPr>
            <w:tcW w:w="684"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受限电量</w:t>
            </w:r>
          </w:p>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计算方法</w:t>
            </w:r>
          </w:p>
        </w:tc>
        <w:tc>
          <w:tcPr>
            <w:tcW w:w="505"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本月可用机组可发电量</w:t>
            </w:r>
          </w:p>
        </w:tc>
        <w:tc>
          <w:tcPr>
            <w:tcW w:w="454"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本月实际发电量</w:t>
            </w:r>
          </w:p>
        </w:tc>
        <w:tc>
          <w:tcPr>
            <w:tcW w:w="395"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本月受限电量</w:t>
            </w:r>
          </w:p>
        </w:tc>
        <w:tc>
          <w:tcPr>
            <w:tcW w:w="484"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本月</w:t>
            </w:r>
          </w:p>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特殊原因受限电量</w:t>
            </w:r>
          </w:p>
        </w:tc>
        <w:tc>
          <w:tcPr>
            <w:tcW w:w="390"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主要受限原因</w:t>
            </w:r>
          </w:p>
        </w:tc>
        <w:tc>
          <w:tcPr>
            <w:tcW w:w="446"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64"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64" w:type="pct"/>
            <w:vAlign w:val="center"/>
          </w:tcPr>
          <w:p>
            <w:pPr>
              <w:snapToGrid w:val="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省</w:t>
            </w:r>
          </w:p>
        </w:tc>
        <w:tc>
          <w:tcPr>
            <w:tcW w:w="264" w:type="pct"/>
            <w:vAlign w:val="center"/>
          </w:tcPr>
          <w:p>
            <w:pPr>
              <w:snapToGrid w:val="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市</w:t>
            </w:r>
          </w:p>
        </w:tc>
        <w:tc>
          <w:tcPr>
            <w:tcW w:w="266" w:type="pct"/>
            <w:vAlign w:val="center"/>
          </w:tcPr>
          <w:p>
            <w:pPr>
              <w:snapToGrid w:val="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县</w:t>
            </w:r>
          </w:p>
        </w:tc>
        <w:tc>
          <w:tcPr>
            <w:tcW w:w="284"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684"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505"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454"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5"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b/>
                <w:bCs/>
                <w:color w:val="000000" w:themeColor="text1"/>
                <w:sz w:val="32"/>
                <w:szCs w:val="32"/>
                <w14:textFill>
                  <w14:solidFill>
                    <w14:schemeClr w14:val="tx1"/>
                  </w14:solidFill>
                </w14:textFill>
              </w:rPr>
            </w:pPr>
          </w:p>
        </w:tc>
        <w:tc>
          <w:tcPr>
            <w:tcW w:w="484"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0"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446"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64" w:type="pct"/>
            <w:vAlign w:val="center"/>
          </w:tcPr>
          <w:p>
            <w:pPr>
              <w:snapToGrid w:val="0"/>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XX</w:t>
            </w:r>
            <w:r>
              <w:rPr>
                <w:rFonts w:hint="eastAsia" w:ascii="Times New Roman" w:hAnsi="Times New Roman" w:eastAsia="方正仿宋_GBK" w:cs="Times New Roman"/>
                <w:color w:val="000000" w:themeColor="text1"/>
                <w:sz w:val="32"/>
                <w:szCs w:val="32"/>
                <w14:textFill>
                  <w14:solidFill>
                    <w14:schemeClr w14:val="tx1"/>
                  </w14:solidFill>
                </w14:textFill>
              </w:rPr>
              <w:t>风电场</w:t>
            </w:r>
          </w:p>
        </w:tc>
        <w:tc>
          <w:tcPr>
            <w:tcW w:w="264"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64"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66"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84"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684"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505"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454"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5"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484"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0"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446"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r>
    </w:tbl>
    <w:p>
      <w:pPr>
        <w:rPr>
          <w:sz w:val="32"/>
          <w:szCs w:val="32"/>
        </w:rPr>
      </w:pPr>
    </w:p>
    <w:p>
      <w:pPr>
        <w:widowControl/>
        <w:jc w:val="lef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br w:type="page"/>
      </w:r>
    </w:p>
    <w:p>
      <w:pPr>
        <w:snapToGrid w:val="0"/>
        <w:jc w:val="left"/>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附件</w:t>
      </w:r>
      <w:r>
        <w:rPr>
          <w:rFonts w:ascii="黑体" w:hAnsi="黑体" w:eastAsia="黑体" w:cs="Times New Roman"/>
          <w:color w:val="000000" w:themeColor="text1"/>
          <w:sz w:val="32"/>
          <w:szCs w:val="32"/>
          <w14:textFill>
            <w14:solidFill>
              <w14:schemeClr w14:val="tx1"/>
            </w14:solidFill>
          </w14:textFill>
        </w:rPr>
        <w:t>2</w:t>
      </w:r>
    </w:p>
    <w:p>
      <w:pPr>
        <w:snapToGrid w:val="0"/>
        <w:spacing w:line="360" w:lineRule="exact"/>
        <w:jc w:val="center"/>
        <w:rPr>
          <w:rFonts w:ascii="方正小标宋_GBK" w:hAnsi="Times New Roman" w:eastAsia="方正小标宋_GBK" w:cs="Times New Roman"/>
          <w:color w:val="000000" w:themeColor="text1"/>
          <w:sz w:val="32"/>
          <w:szCs w:val="32"/>
          <w14:textFill>
            <w14:solidFill>
              <w14:schemeClr w14:val="tx1"/>
            </w14:solidFill>
          </w14:textFill>
        </w:rPr>
      </w:pPr>
    </w:p>
    <w:p>
      <w:pPr>
        <w:snapToGrid w:val="0"/>
        <w:spacing w:line="360" w:lineRule="exact"/>
        <w:jc w:val="center"/>
        <w:rPr>
          <w:rFonts w:ascii="方正小标宋_GBK" w:hAnsi="Times New Roman" w:eastAsia="方正小标宋_GBK" w:cs="Times New Roman"/>
          <w:color w:val="000000" w:themeColor="text1"/>
          <w:sz w:val="32"/>
          <w:szCs w:val="32"/>
          <w14:textFill>
            <w14:solidFill>
              <w14:schemeClr w14:val="tx1"/>
            </w14:solidFill>
          </w14:textFill>
        </w:rPr>
      </w:pPr>
      <w:r>
        <w:rPr>
          <w:rFonts w:hint="eastAsia" w:ascii="方正小标宋_GBK" w:hAnsi="Times New Roman" w:eastAsia="方正小标宋_GBK" w:cs="Times New Roman"/>
          <w:color w:val="000000" w:themeColor="text1"/>
          <w:sz w:val="32"/>
          <w:szCs w:val="32"/>
          <w14:textFill>
            <w14:solidFill>
              <w14:schemeClr w14:val="tx1"/>
            </w14:solidFill>
          </w14:textFill>
        </w:rPr>
        <w:t>XX省（区、市）风电月度发电信息表</w:t>
      </w:r>
    </w:p>
    <w:p>
      <w:pPr>
        <w:snapToGrid w:val="0"/>
        <w:spacing w:line="360" w:lineRule="exact"/>
        <w:jc w:val="center"/>
        <w:rPr>
          <w:rFonts w:ascii="方正小标宋_GBK" w:hAnsi="Times New Roman" w:eastAsia="方正小标宋_GBK" w:cs="Times New Roman"/>
          <w:color w:val="000000" w:themeColor="text1"/>
          <w:sz w:val="32"/>
          <w:szCs w:val="32"/>
          <w14:textFill>
            <w14:solidFill>
              <w14:schemeClr w14:val="tx1"/>
            </w14:solidFill>
          </w14:textFill>
        </w:rPr>
      </w:pPr>
      <w:r>
        <w:rPr>
          <w:rFonts w:ascii="方正小标宋_GBK" w:hAnsi="Times New Roman" w:eastAsia="方正小标宋_GBK" w:cs="Times New Roman"/>
          <w:color w:val="000000" w:themeColor="text1"/>
          <w:sz w:val="32"/>
          <w:szCs w:val="32"/>
          <w14:textFill>
            <w14:solidFill>
              <w14:schemeClr w14:val="tx1"/>
            </w14:solidFill>
          </w14:textFill>
        </w:rPr>
        <w:t>XX</w:t>
      </w:r>
      <w:r>
        <w:rPr>
          <w:rFonts w:hint="eastAsia" w:ascii="方正小标宋_GBK" w:hAnsi="Times New Roman" w:eastAsia="方正小标宋_GBK" w:cs="Times New Roman"/>
          <w:color w:val="000000" w:themeColor="text1"/>
          <w:sz w:val="32"/>
          <w:szCs w:val="32"/>
          <w14:textFill>
            <w14:solidFill>
              <w14:schemeClr w14:val="tx1"/>
            </w14:solidFill>
          </w14:textFill>
        </w:rPr>
        <w:t>XX年XX月</w:t>
      </w:r>
    </w:p>
    <w:p>
      <w:pPr>
        <w:snapToGrid w:val="0"/>
        <w:jc w:val="right"/>
        <w:rPr>
          <w:rFonts w:ascii="方正小标宋_GBK" w:hAnsi="Times New Roman" w:eastAsia="方正小标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单位：万千瓦时、万千瓦</w:t>
      </w:r>
    </w:p>
    <w:tbl>
      <w:tblPr>
        <w:tblStyle w:val="12"/>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1200"/>
        <w:gridCol w:w="536"/>
        <w:gridCol w:w="536"/>
        <w:gridCol w:w="536"/>
        <w:gridCol w:w="594"/>
        <w:gridCol w:w="976"/>
        <w:gridCol w:w="1310"/>
        <w:gridCol w:w="1124"/>
        <w:gridCol w:w="981"/>
        <w:gridCol w:w="1127"/>
        <w:gridCol w:w="1124"/>
        <w:gridCol w:w="650"/>
        <w:gridCol w:w="941"/>
        <w:gridCol w:w="801"/>
        <w:gridCol w:w="1101"/>
        <w:gridCol w:w="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6"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序号</w:t>
            </w:r>
          </w:p>
        </w:tc>
        <w:tc>
          <w:tcPr>
            <w:tcW w:w="416"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电站名称</w:t>
            </w:r>
          </w:p>
        </w:tc>
        <w:tc>
          <w:tcPr>
            <w:tcW w:w="500" w:type="pct"/>
            <w:gridSpan w:val="3"/>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项目所在地</w:t>
            </w:r>
          </w:p>
        </w:tc>
        <w:tc>
          <w:tcPr>
            <w:tcW w:w="208"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并网容量</w:t>
            </w:r>
          </w:p>
        </w:tc>
        <w:tc>
          <w:tcPr>
            <w:tcW w:w="339"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受限电量计算方法</w:t>
            </w:r>
          </w:p>
        </w:tc>
        <w:tc>
          <w:tcPr>
            <w:tcW w:w="454"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本月可用机组可发电量</w:t>
            </w:r>
          </w:p>
        </w:tc>
        <w:tc>
          <w:tcPr>
            <w:tcW w:w="390"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本月实际发电量</w:t>
            </w:r>
          </w:p>
        </w:tc>
        <w:tc>
          <w:tcPr>
            <w:tcW w:w="341" w:type="pct"/>
            <w:vMerge w:val="restart"/>
            <w:vAlign w:val="center"/>
          </w:tcPr>
          <w:p>
            <w:pPr>
              <w:snapToGrid w:val="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本月受限电量</w:t>
            </w:r>
          </w:p>
        </w:tc>
        <w:tc>
          <w:tcPr>
            <w:tcW w:w="391"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本月</w:t>
            </w:r>
          </w:p>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特殊原因</w:t>
            </w:r>
          </w:p>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受限电量</w:t>
            </w:r>
          </w:p>
        </w:tc>
        <w:tc>
          <w:tcPr>
            <w:tcW w:w="390"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本月</w:t>
            </w:r>
          </w:p>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系统原因</w:t>
            </w:r>
          </w:p>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受限电量</w:t>
            </w:r>
          </w:p>
        </w:tc>
        <w:tc>
          <w:tcPr>
            <w:tcW w:w="227"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受限</w:t>
            </w:r>
          </w:p>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原因</w:t>
            </w:r>
          </w:p>
        </w:tc>
        <w:tc>
          <w:tcPr>
            <w:tcW w:w="327"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本年累计受限电量</w:t>
            </w:r>
          </w:p>
        </w:tc>
        <w:tc>
          <w:tcPr>
            <w:tcW w:w="279"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本月利用率</w:t>
            </w:r>
          </w:p>
        </w:tc>
        <w:tc>
          <w:tcPr>
            <w:tcW w:w="382"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本年累计利用率</w:t>
            </w:r>
          </w:p>
        </w:tc>
        <w:tc>
          <w:tcPr>
            <w:tcW w:w="190" w:type="pct"/>
            <w:vMerge w:val="restart"/>
            <w:vAlign w:val="center"/>
          </w:tcPr>
          <w:p>
            <w:pPr>
              <w:snapToGrid w:val="0"/>
              <w:ind w:left="-109" w:leftChars="-52" w:right="-42" w:rightChars="-2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66"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416"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166" w:type="pct"/>
            <w:vAlign w:val="center"/>
          </w:tcPr>
          <w:p>
            <w:pPr>
              <w:snapToGrid w:val="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省</w:t>
            </w:r>
          </w:p>
        </w:tc>
        <w:tc>
          <w:tcPr>
            <w:tcW w:w="166" w:type="pct"/>
            <w:vAlign w:val="center"/>
          </w:tcPr>
          <w:p>
            <w:pPr>
              <w:snapToGrid w:val="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市</w:t>
            </w:r>
          </w:p>
        </w:tc>
        <w:tc>
          <w:tcPr>
            <w:tcW w:w="168" w:type="pct"/>
            <w:vAlign w:val="center"/>
          </w:tcPr>
          <w:p>
            <w:pPr>
              <w:snapToGrid w:val="0"/>
              <w:jc w:val="center"/>
              <w:rPr>
                <w:rFonts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县</w:t>
            </w:r>
          </w:p>
        </w:tc>
        <w:tc>
          <w:tcPr>
            <w:tcW w:w="208"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39"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454"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0"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41"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b/>
                <w:bCs/>
                <w:color w:val="000000" w:themeColor="text1"/>
                <w:sz w:val="32"/>
                <w:szCs w:val="32"/>
                <w14:textFill>
                  <w14:solidFill>
                    <w14:schemeClr w14:val="tx1"/>
                  </w14:solidFill>
                </w14:textFill>
              </w:rPr>
            </w:pPr>
          </w:p>
        </w:tc>
        <w:tc>
          <w:tcPr>
            <w:tcW w:w="391" w:type="pct"/>
            <w:vMerge w:val="continue"/>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0" w:type="pct"/>
            <w:vMerge w:val="continue"/>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27"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27"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79"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82"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190" w:type="pct"/>
            <w:vMerge w:val="continue"/>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 w:type="pct"/>
            <w:vAlign w:val="center"/>
          </w:tcPr>
          <w:p>
            <w:pPr>
              <w:snapToGrid w:val="0"/>
              <w:ind w:left="-109" w:leftChars="-52" w:right="-48" w:rightChars="-23"/>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p>
        </w:tc>
        <w:tc>
          <w:tcPr>
            <w:tcW w:w="416" w:type="pct"/>
            <w:vAlign w:val="center"/>
          </w:tcPr>
          <w:p>
            <w:pPr>
              <w:snapToGrid w:val="0"/>
              <w:ind w:left="-109" w:leftChars="-52" w:right="-103" w:rightChars="-49"/>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XX</w:t>
            </w:r>
            <w:r>
              <w:rPr>
                <w:rFonts w:hint="eastAsia" w:ascii="Times New Roman" w:hAnsi="Times New Roman" w:eastAsia="方正仿宋_GBK" w:cs="Times New Roman"/>
                <w:color w:val="000000" w:themeColor="text1"/>
                <w:sz w:val="32"/>
                <w:szCs w:val="32"/>
                <w14:textFill>
                  <w14:solidFill>
                    <w14:schemeClr w14:val="tx1"/>
                  </w14:solidFill>
                </w14:textFill>
              </w:rPr>
              <w:t>风电场</w:t>
            </w:r>
          </w:p>
        </w:tc>
        <w:tc>
          <w:tcPr>
            <w:tcW w:w="166"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166"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168"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08"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39"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454"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0"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41" w:type="pct"/>
            <w:vAlign w:val="center"/>
          </w:tcPr>
          <w:p>
            <w:pPr>
              <w:snapToGrid w:val="0"/>
              <w:spacing w:line="600" w:lineRule="exact"/>
              <w:ind w:firstLine="640" w:firstLineChars="200"/>
              <w:jc w:val="center"/>
              <w:outlineLvl w:val="0"/>
              <w:rPr>
                <w:rFonts w:ascii="仿宋_GB2312" w:hAnsi="黑体" w:eastAsia="仿宋_GB2312" w:cs="宋体"/>
                <w:color w:val="auto"/>
                <w:kern w:val="0"/>
                <w:sz w:val="32"/>
                <w:szCs w:val="32"/>
              </w:rPr>
            </w:pPr>
          </w:p>
        </w:tc>
        <w:tc>
          <w:tcPr>
            <w:tcW w:w="391" w:type="pct"/>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0" w:type="pct"/>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27"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27"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79"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82"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190"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 w:type="pct"/>
            <w:vAlign w:val="center"/>
          </w:tcPr>
          <w:p>
            <w:pPr>
              <w:snapToGrid w:val="0"/>
              <w:ind w:left="-109" w:leftChars="-52" w:right="-48" w:rightChars="-23"/>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p>
        </w:tc>
        <w:tc>
          <w:tcPr>
            <w:tcW w:w="416" w:type="pct"/>
            <w:vAlign w:val="center"/>
          </w:tcPr>
          <w:p>
            <w:pPr>
              <w:snapToGrid w:val="0"/>
              <w:ind w:left="-109" w:leftChars="-52" w:right="-103" w:rightChars="-49"/>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XX</w:t>
            </w:r>
            <w:r>
              <w:rPr>
                <w:rFonts w:hint="eastAsia" w:ascii="Times New Roman" w:hAnsi="Times New Roman" w:eastAsia="方正仿宋_GBK" w:cs="Times New Roman"/>
                <w:color w:val="000000" w:themeColor="text1"/>
                <w:sz w:val="32"/>
                <w:szCs w:val="32"/>
                <w14:textFill>
                  <w14:solidFill>
                    <w14:schemeClr w14:val="tx1"/>
                  </w14:solidFill>
                </w14:textFill>
              </w:rPr>
              <w:t>风电场</w:t>
            </w:r>
          </w:p>
        </w:tc>
        <w:tc>
          <w:tcPr>
            <w:tcW w:w="166"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166"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168"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08"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39"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454"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0"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41"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1" w:type="pct"/>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0" w:type="pct"/>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27"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27"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79"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82"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190"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66" w:type="pct"/>
            <w:vAlign w:val="center"/>
          </w:tcPr>
          <w:p>
            <w:pPr>
              <w:snapToGrid w:val="0"/>
              <w:ind w:left="-109" w:leftChars="-52" w:right="-48" w:rightChars="-23"/>
              <w:jc w:val="center"/>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w:t>
            </w:r>
          </w:p>
        </w:tc>
        <w:tc>
          <w:tcPr>
            <w:tcW w:w="416" w:type="pct"/>
            <w:vAlign w:val="center"/>
          </w:tcPr>
          <w:p>
            <w:pPr>
              <w:snapToGrid w:val="0"/>
              <w:spacing w:line="600" w:lineRule="exact"/>
              <w:ind w:left="-109" w:leftChars="-52" w:right="-103" w:rightChars="-49"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166"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166"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168"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08"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39"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454"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0"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41"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1" w:type="pct"/>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0" w:type="pct"/>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27"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27"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79"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82"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190"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66" w:type="pct"/>
            <w:vAlign w:val="center"/>
          </w:tcPr>
          <w:p>
            <w:pPr>
              <w:snapToGrid w:val="0"/>
              <w:spacing w:line="600" w:lineRule="exact"/>
              <w:ind w:left="-109" w:leftChars="-52" w:right="-48" w:rightChars="-23"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416" w:type="pct"/>
            <w:vAlign w:val="center"/>
          </w:tcPr>
          <w:p>
            <w:pPr>
              <w:snapToGrid w:val="0"/>
              <w:ind w:left="-109" w:leftChars="-52" w:right="-103" w:rightChars="-49"/>
              <w:jc w:val="center"/>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合计</w:t>
            </w:r>
          </w:p>
        </w:tc>
        <w:tc>
          <w:tcPr>
            <w:tcW w:w="500" w:type="pct"/>
            <w:gridSpan w:val="3"/>
            <w:vAlign w:val="center"/>
          </w:tcPr>
          <w:p>
            <w:pPr>
              <w:snapToGrid w:val="0"/>
              <w:jc w:val="center"/>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w:t>
            </w:r>
          </w:p>
        </w:tc>
        <w:tc>
          <w:tcPr>
            <w:tcW w:w="208"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39" w:type="pct"/>
            <w:vAlign w:val="center"/>
          </w:tcPr>
          <w:p>
            <w:pPr>
              <w:snapToGrid w:val="0"/>
              <w:jc w:val="center"/>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w:t>
            </w:r>
          </w:p>
        </w:tc>
        <w:tc>
          <w:tcPr>
            <w:tcW w:w="454"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0"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41"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1" w:type="pct"/>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90" w:type="pct"/>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27"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27"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279"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382"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c>
          <w:tcPr>
            <w:tcW w:w="190" w:type="pct"/>
            <w:vAlign w:val="center"/>
          </w:tcPr>
          <w:p>
            <w:pPr>
              <w:snapToGrid w:val="0"/>
              <w:spacing w:line="600" w:lineRule="exact"/>
              <w:ind w:firstLine="640" w:firstLineChars="200"/>
              <w:jc w:val="center"/>
              <w:outlineLvl w:val="0"/>
              <w:rPr>
                <w:rFonts w:ascii="Times New Roman" w:hAnsi="Times New Roman" w:eastAsia="方正仿宋_GBK" w:cs="Times New Roman"/>
                <w:color w:val="000000" w:themeColor="text1"/>
                <w:sz w:val="32"/>
                <w:szCs w:val="32"/>
                <w14:textFill>
                  <w14:solidFill>
                    <w14:schemeClr w14:val="tx1"/>
                  </w14:solidFill>
                </w14:textFill>
              </w:rPr>
            </w:pPr>
          </w:p>
        </w:tc>
      </w:tr>
    </w:tbl>
    <w:p>
      <w:pPr>
        <w:snapToGrid w:val="0"/>
        <w:spacing w:line="588" w:lineRule="exact"/>
        <w:rPr>
          <w:sz w:val="32"/>
          <w:szCs w:val="32"/>
        </w:rPr>
      </w:pPr>
      <w:r>
        <w:rPr>
          <w:rFonts w:hint="eastAsia"/>
          <w:sz w:val="32"/>
          <w:szCs w:val="32"/>
        </w:rPr>
        <w:t>（注：表中风电场利用率为仅考虑系统原因受限电量情况下的利用率）</w:t>
      </w: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an">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1519421"/>
      <w:docPartObj>
        <w:docPartGallery w:val="autotext"/>
      </w:docPartObj>
    </w:sdtPr>
    <w:sdtContent>
      <w:p>
        <w:pPr>
          <w:pStyle w:val="7"/>
          <w:jc w:val="center"/>
        </w:pPr>
        <w:r>
          <w:fldChar w:fldCharType="begin"/>
        </w:r>
        <w:r>
          <w:instrText xml:space="preserve">PAGE   \* MERGEFORMAT</w:instrText>
        </w:r>
        <w:r>
          <w:fldChar w:fldCharType="separate"/>
        </w:r>
        <w:r>
          <w:rPr>
            <w:lang w:val="zh-CN"/>
          </w:rPr>
          <w:t>9</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NjM1MmYzZjI2ZTdhMGUxYWFmYjA0NzRjODBhN2QifQ=="/>
  </w:docVars>
  <w:rsids>
    <w:rsidRoot w:val="00C44B02"/>
    <w:rsid w:val="00000F7D"/>
    <w:rsid w:val="00006780"/>
    <w:rsid w:val="00006D2B"/>
    <w:rsid w:val="00011300"/>
    <w:rsid w:val="0001256A"/>
    <w:rsid w:val="00014D54"/>
    <w:rsid w:val="00015083"/>
    <w:rsid w:val="000216F8"/>
    <w:rsid w:val="00025C92"/>
    <w:rsid w:val="00026922"/>
    <w:rsid w:val="0002794B"/>
    <w:rsid w:val="00030686"/>
    <w:rsid w:val="0003174E"/>
    <w:rsid w:val="000326A2"/>
    <w:rsid w:val="00033F58"/>
    <w:rsid w:val="00033FAF"/>
    <w:rsid w:val="0003578D"/>
    <w:rsid w:val="00036276"/>
    <w:rsid w:val="000363FC"/>
    <w:rsid w:val="000375C9"/>
    <w:rsid w:val="000418E4"/>
    <w:rsid w:val="000423D0"/>
    <w:rsid w:val="00043C9F"/>
    <w:rsid w:val="000449CD"/>
    <w:rsid w:val="00046BD5"/>
    <w:rsid w:val="00054142"/>
    <w:rsid w:val="000615D3"/>
    <w:rsid w:val="00065C31"/>
    <w:rsid w:val="000678DA"/>
    <w:rsid w:val="00070237"/>
    <w:rsid w:val="0007031C"/>
    <w:rsid w:val="00070BB7"/>
    <w:rsid w:val="00071D73"/>
    <w:rsid w:val="00072F44"/>
    <w:rsid w:val="0007311F"/>
    <w:rsid w:val="000749D4"/>
    <w:rsid w:val="00077F46"/>
    <w:rsid w:val="0008302E"/>
    <w:rsid w:val="00084043"/>
    <w:rsid w:val="00084D7A"/>
    <w:rsid w:val="00086290"/>
    <w:rsid w:val="00087FE8"/>
    <w:rsid w:val="000900C9"/>
    <w:rsid w:val="00091265"/>
    <w:rsid w:val="0009256D"/>
    <w:rsid w:val="0009570B"/>
    <w:rsid w:val="000966D4"/>
    <w:rsid w:val="00097959"/>
    <w:rsid w:val="000A2434"/>
    <w:rsid w:val="000A270C"/>
    <w:rsid w:val="000A6933"/>
    <w:rsid w:val="000A77BD"/>
    <w:rsid w:val="000B069B"/>
    <w:rsid w:val="000B16A7"/>
    <w:rsid w:val="000B2D8C"/>
    <w:rsid w:val="000B787F"/>
    <w:rsid w:val="000C23BF"/>
    <w:rsid w:val="000C353F"/>
    <w:rsid w:val="000C36E5"/>
    <w:rsid w:val="000D19BF"/>
    <w:rsid w:val="000D6BC6"/>
    <w:rsid w:val="000D7010"/>
    <w:rsid w:val="000D775E"/>
    <w:rsid w:val="000E691E"/>
    <w:rsid w:val="000F0AF2"/>
    <w:rsid w:val="00100F01"/>
    <w:rsid w:val="00103D9D"/>
    <w:rsid w:val="00104796"/>
    <w:rsid w:val="00104A1B"/>
    <w:rsid w:val="001060A3"/>
    <w:rsid w:val="001112B0"/>
    <w:rsid w:val="00121886"/>
    <w:rsid w:val="00122289"/>
    <w:rsid w:val="0012270F"/>
    <w:rsid w:val="00122F6C"/>
    <w:rsid w:val="0012535E"/>
    <w:rsid w:val="00125DC9"/>
    <w:rsid w:val="00127314"/>
    <w:rsid w:val="001327F7"/>
    <w:rsid w:val="00133CE9"/>
    <w:rsid w:val="00133D6A"/>
    <w:rsid w:val="00135AA6"/>
    <w:rsid w:val="00136438"/>
    <w:rsid w:val="00136878"/>
    <w:rsid w:val="00136FB8"/>
    <w:rsid w:val="001412CA"/>
    <w:rsid w:val="00141FA6"/>
    <w:rsid w:val="00142A37"/>
    <w:rsid w:val="00142B63"/>
    <w:rsid w:val="00143029"/>
    <w:rsid w:val="001473EB"/>
    <w:rsid w:val="0015112A"/>
    <w:rsid w:val="001519F1"/>
    <w:rsid w:val="001523CA"/>
    <w:rsid w:val="00152C9C"/>
    <w:rsid w:val="00155362"/>
    <w:rsid w:val="00156168"/>
    <w:rsid w:val="00161E51"/>
    <w:rsid w:val="001622D8"/>
    <w:rsid w:val="00163D24"/>
    <w:rsid w:val="00163F51"/>
    <w:rsid w:val="001640C2"/>
    <w:rsid w:val="0016750E"/>
    <w:rsid w:val="001701C1"/>
    <w:rsid w:val="00172BAA"/>
    <w:rsid w:val="001758AD"/>
    <w:rsid w:val="0018058B"/>
    <w:rsid w:val="0018266B"/>
    <w:rsid w:val="0018496E"/>
    <w:rsid w:val="00186230"/>
    <w:rsid w:val="0019115B"/>
    <w:rsid w:val="00192479"/>
    <w:rsid w:val="00194F34"/>
    <w:rsid w:val="00196AF6"/>
    <w:rsid w:val="001970F0"/>
    <w:rsid w:val="001A14B7"/>
    <w:rsid w:val="001A18D4"/>
    <w:rsid w:val="001A2B9B"/>
    <w:rsid w:val="001A3156"/>
    <w:rsid w:val="001A3EAE"/>
    <w:rsid w:val="001A5251"/>
    <w:rsid w:val="001A6FBC"/>
    <w:rsid w:val="001B66B3"/>
    <w:rsid w:val="001C0891"/>
    <w:rsid w:val="001C111F"/>
    <w:rsid w:val="001C3C10"/>
    <w:rsid w:val="001C58FE"/>
    <w:rsid w:val="001C692B"/>
    <w:rsid w:val="001C6CBF"/>
    <w:rsid w:val="001D1EA7"/>
    <w:rsid w:val="001D3986"/>
    <w:rsid w:val="001D7155"/>
    <w:rsid w:val="001D7325"/>
    <w:rsid w:val="001D7A79"/>
    <w:rsid w:val="001D7EC3"/>
    <w:rsid w:val="001E1786"/>
    <w:rsid w:val="001E2975"/>
    <w:rsid w:val="001F0F09"/>
    <w:rsid w:val="001F2B62"/>
    <w:rsid w:val="001F314D"/>
    <w:rsid w:val="001F46D7"/>
    <w:rsid w:val="00203B3F"/>
    <w:rsid w:val="00205090"/>
    <w:rsid w:val="0020632A"/>
    <w:rsid w:val="00207431"/>
    <w:rsid w:val="00207646"/>
    <w:rsid w:val="0021061A"/>
    <w:rsid w:val="00211BBA"/>
    <w:rsid w:val="002141A9"/>
    <w:rsid w:val="002231E3"/>
    <w:rsid w:val="00226453"/>
    <w:rsid w:val="0023074D"/>
    <w:rsid w:val="0023092F"/>
    <w:rsid w:val="00232C1E"/>
    <w:rsid w:val="002343E6"/>
    <w:rsid w:val="0023524C"/>
    <w:rsid w:val="002375C5"/>
    <w:rsid w:val="00237EB0"/>
    <w:rsid w:val="0024051C"/>
    <w:rsid w:val="002425EB"/>
    <w:rsid w:val="002428E6"/>
    <w:rsid w:val="00244733"/>
    <w:rsid w:val="002512F8"/>
    <w:rsid w:val="00253111"/>
    <w:rsid w:val="00255E6B"/>
    <w:rsid w:val="0026021E"/>
    <w:rsid w:val="002623A3"/>
    <w:rsid w:val="00263A9A"/>
    <w:rsid w:val="00265446"/>
    <w:rsid w:val="00266C6C"/>
    <w:rsid w:val="002677AC"/>
    <w:rsid w:val="002702D1"/>
    <w:rsid w:val="002703DA"/>
    <w:rsid w:val="00272EB2"/>
    <w:rsid w:val="002749BA"/>
    <w:rsid w:val="00276150"/>
    <w:rsid w:val="00276CD8"/>
    <w:rsid w:val="00282A05"/>
    <w:rsid w:val="00282D14"/>
    <w:rsid w:val="00283961"/>
    <w:rsid w:val="00286812"/>
    <w:rsid w:val="00287A08"/>
    <w:rsid w:val="00287B2F"/>
    <w:rsid w:val="00291D50"/>
    <w:rsid w:val="0029564D"/>
    <w:rsid w:val="002A0F7E"/>
    <w:rsid w:val="002A21B8"/>
    <w:rsid w:val="002B2843"/>
    <w:rsid w:val="002B2BB1"/>
    <w:rsid w:val="002B56C6"/>
    <w:rsid w:val="002C30B0"/>
    <w:rsid w:val="002C4035"/>
    <w:rsid w:val="002C6E57"/>
    <w:rsid w:val="002C779E"/>
    <w:rsid w:val="002D12DA"/>
    <w:rsid w:val="002D3B10"/>
    <w:rsid w:val="002D4D71"/>
    <w:rsid w:val="002D5526"/>
    <w:rsid w:val="002E3478"/>
    <w:rsid w:val="002F0848"/>
    <w:rsid w:val="002F4C63"/>
    <w:rsid w:val="002F53E7"/>
    <w:rsid w:val="002F551E"/>
    <w:rsid w:val="002F682F"/>
    <w:rsid w:val="00300BB3"/>
    <w:rsid w:val="003061B0"/>
    <w:rsid w:val="003062A7"/>
    <w:rsid w:val="003066C8"/>
    <w:rsid w:val="00306910"/>
    <w:rsid w:val="00307E84"/>
    <w:rsid w:val="00307EB0"/>
    <w:rsid w:val="00307F0F"/>
    <w:rsid w:val="003124E9"/>
    <w:rsid w:val="003165E1"/>
    <w:rsid w:val="00317A4C"/>
    <w:rsid w:val="0032079E"/>
    <w:rsid w:val="003224C6"/>
    <w:rsid w:val="00322610"/>
    <w:rsid w:val="003228D7"/>
    <w:rsid w:val="00325380"/>
    <w:rsid w:val="003304F2"/>
    <w:rsid w:val="00330EDD"/>
    <w:rsid w:val="003317BA"/>
    <w:rsid w:val="00332720"/>
    <w:rsid w:val="00332E93"/>
    <w:rsid w:val="00336B5D"/>
    <w:rsid w:val="003407AE"/>
    <w:rsid w:val="00342142"/>
    <w:rsid w:val="00343CB9"/>
    <w:rsid w:val="00347BBC"/>
    <w:rsid w:val="00353347"/>
    <w:rsid w:val="00353D44"/>
    <w:rsid w:val="00361EAB"/>
    <w:rsid w:val="003635A6"/>
    <w:rsid w:val="003635AB"/>
    <w:rsid w:val="00364185"/>
    <w:rsid w:val="00370305"/>
    <w:rsid w:val="00376917"/>
    <w:rsid w:val="00383E50"/>
    <w:rsid w:val="00386451"/>
    <w:rsid w:val="00392F18"/>
    <w:rsid w:val="00393114"/>
    <w:rsid w:val="00395032"/>
    <w:rsid w:val="00396EB8"/>
    <w:rsid w:val="003A49EA"/>
    <w:rsid w:val="003A53F4"/>
    <w:rsid w:val="003A7C14"/>
    <w:rsid w:val="003B0082"/>
    <w:rsid w:val="003B3BBF"/>
    <w:rsid w:val="003B3C4D"/>
    <w:rsid w:val="003B4D42"/>
    <w:rsid w:val="003B62F8"/>
    <w:rsid w:val="003B782F"/>
    <w:rsid w:val="003B7F42"/>
    <w:rsid w:val="003C054C"/>
    <w:rsid w:val="003C0997"/>
    <w:rsid w:val="003C3877"/>
    <w:rsid w:val="003D091A"/>
    <w:rsid w:val="003D34A6"/>
    <w:rsid w:val="003D3DE2"/>
    <w:rsid w:val="003D66D6"/>
    <w:rsid w:val="003E1308"/>
    <w:rsid w:val="003E3295"/>
    <w:rsid w:val="003E4081"/>
    <w:rsid w:val="003E7617"/>
    <w:rsid w:val="003F1080"/>
    <w:rsid w:val="003F4BFC"/>
    <w:rsid w:val="003F5E17"/>
    <w:rsid w:val="00405338"/>
    <w:rsid w:val="00410450"/>
    <w:rsid w:val="004109E9"/>
    <w:rsid w:val="00413531"/>
    <w:rsid w:val="00413FCE"/>
    <w:rsid w:val="00422889"/>
    <w:rsid w:val="00425791"/>
    <w:rsid w:val="0042589C"/>
    <w:rsid w:val="00427B56"/>
    <w:rsid w:val="004353AE"/>
    <w:rsid w:val="00435744"/>
    <w:rsid w:val="00440165"/>
    <w:rsid w:val="00441994"/>
    <w:rsid w:val="004477BF"/>
    <w:rsid w:val="0045133E"/>
    <w:rsid w:val="00452684"/>
    <w:rsid w:val="004535E4"/>
    <w:rsid w:val="00453E67"/>
    <w:rsid w:val="00454110"/>
    <w:rsid w:val="00456DC7"/>
    <w:rsid w:val="004604FB"/>
    <w:rsid w:val="0046382A"/>
    <w:rsid w:val="00463BE3"/>
    <w:rsid w:val="00463D2A"/>
    <w:rsid w:val="004676FA"/>
    <w:rsid w:val="00474925"/>
    <w:rsid w:val="00477589"/>
    <w:rsid w:val="00477AF2"/>
    <w:rsid w:val="0048020E"/>
    <w:rsid w:val="0048520A"/>
    <w:rsid w:val="004857AC"/>
    <w:rsid w:val="00486BCB"/>
    <w:rsid w:val="00494ADE"/>
    <w:rsid w:val="004A0B1D"/>
    <w:rsid w:val="004A358A"/>
    <w:rsid w:val="004A4570"/>
    <w:rsid w:val="004A4F9B"/>
    <w:rsid w:val="004A5482"/>
    <w:rsid w:val="004B2C35"/>
    <w:rsid w:val="004B787A"/>
    <w:rsid w:val="004C0689"/>
    <w:rsid w:val="004C3BDB"/>
    <w:rsid w:val="004C705E"/>
    <w:rsid w:val="004C740F"/>
    <w:rsid w:val="004D3D29"/>
    <w:rsid w:val="004D5E02"/>
    <w:rsid w:val="004E26B3"/>
    <w:rsid w:val="004E5E79"/>
    <w:rsid w:val="004E66EC"/>
    <w:rsid w:val="004F019B"/>
    <w:rsid w:val="004F2493"/>
    <w:rsid w:val="004F27ED"/>
    <w:rsid w:val="004F3760"/>
    <w:rsid w:val="0050262B"/>
    <w:rsid w:val="00503B37"/>
    <w:rsid w:val="0050417A"/>
    <w:rsid w:val="00505061"/>
    <w:rsid w:val="0050613B"/>
    <w:rsid w:val="00512A49"/>
    <w:rsid w:val="00514654"/>
    <w:rsid w:val="00514B3C"/>
    <w:rsid w:val="00521314"/>
    <w:rsid w:val="00523949"/>
    <w:rsid w:val="005317C5"/>
    <w:rsid w:val="00532028"/>
    <w:rsid w:val="00532923"/>
    <w:rsid w:val="00533F0F"/>
    <w:rsid w:val="005359AB"/>
    <w:rsid w:val="0054372F"/>
    <w:rsid w:val="00543839"/>
    <w:rsid w:val="005462EE"/>
    <w:rsid w:val="005501EF"/>
    <w:rsid w:val="005522FC"/>
    <w:rsid w:val="00553B73"/>
    <w:rsid w:val="00557167"/>
    <w:rsid w:val="00560204"/>
    <w:rsid w:val="00560893"/>
    <w:rsid w:val="00562CEC"/>
    <w:rsid w:val="00565A8E"/>
    <w:rsid w:val="00572673"/>
    <w:rsid w:val="0057694D"/>
    <w:rsid w:val="00577FF5"/>
    <w:rsid w:val="00581052"/>
    <w:rsid w:val="005813C1"/>
    <w:rsid w:val="00585EE8"/>
    <w:rsid w:val="00586640"/>
    <w:rsid w:val="005945A4"/>
    <w:rsid w:val="00594FC7"/>
    <w:rsid w:val="00596D4E"/>
    <w:rsid w:val="00597AB0"/>
    <w:rsid w:val="005A0823"/>
    <w:rsid w:val="005A21D2"/>
    <w:rsid w:val="005A29C8"/>
    <w:rsid w:val="005A33A2"/>
    <w:rsid w:val="005A403C"/>
    <w:rsid w:val="005A6140"/>
    <w:rsid w:val="005A6F5A"/>
    <w:rsid w:val="005B0F2C"/>
    <w:rsid w:val="005B17BA"/>
    <w:rsid w:val="005B2574"/>
    <w:rsid w:val="005B38D7"/>
    <w:rsid w:val="005B3ED1"/>
    <w:rsid w:val="005C0938"/>
    <w:rsid w:val="005C1CD2"/>
    <w:rsid w:val="005C69F1"/>
    <w:rsid w:val="005C7D52"/>
    <w:rsid w:val="005C7E86"/>
    <w:rsid w:val="005D2B57"/>
    <w:rsid w:val="005E2D20"/>
    <w:rsid w:val="005E349E"/>
    <w:rsid w:val="005E3AD2"/>
    <w:rsid w:val="005E686D"/>
    <w:rsid w:val="005F02BD"/>
    <w:rsid w:val="005F1658"/>
    <w:rsid w:val="005F22AC"/>
    <w:rsid w:val="005F2EF9"/>
    <w:rsid w:val="005F57BC"/>
    <w:rsid w:val="0061110F"/>
    <w:rsid w:val="00611AB0"/>
    <w:rsid w:val="00616666"/>
    <w:rsid w:val="00617428"/>
    <w:rsid w:val="0062006F"/>
    <w:rsid w:val="006217BF"/>
    <w:rsid w:val="00625A5C"/>
    <w:rsid w:val="006314CD"/>
    <w:rsid w:val="00632197"/>
    <w:rsid w:val="006348BA"/>
    <w:rsid w:val="00641437"/>
    <w:rsid w:val="00646AB7"/>
    <w:rsid w:val="00653358"/>
    <w:rsid w:val="0066064F"/>
    <w:rsid w:val="00660A10"/>
    <w:rsid w:val="00660B99"/>
    <w:rsid w:val="00662981"/>
    <w:rsid w:val="0066408F"/>
    <w:rsid w:val="006678C4"/>
    <w:rsid w:val="00671D90"/>
    <w:rsid w:val="00671DC9"/>
    <w:rsid w:val="00671E9F"/>
    <w:rsid w:val="0067307E"/>
    <w:rsid w:val="00674815"/>
    <w:rsid w:val="0068154A"/>
    <w:rsid w:val="00683C21"/>
    <w:rsid w:val="006845F3"/>
    <w:rsid w:val="0068557B"/>
    <w:rsid w:val="00687C5D"/>
    <w:rsid w:val="0069159E"/>
    <w:rsid w:val="00693136"/>
    <w:rsid w:val="00693348"/>
    <w:rsid w:val="00693E77"/>
    <w:rsid w:val="00694ED7"/>
    <w:rsid w:val="00695AE0"/>
    <w:rsid w:val="00697CDB"/>
    <w:rsid w:val="006A0383"/>
    <w:rsid w:val="006A060F"/>
    <w:rsid w:val="006A50A4"/>
    <w:rsid w:val="006A5268"/>
    <w:rsid w:val="006A52E6"/>
    <w:rsid w:val="006A69DE"/>
    <w:rsid w:val="006A7A76"/>
    <w:rsid w:val="006B216F"/>
    <w:rsid w:val="006B2A6E"/>
    <w:rsid w:val="006B43CD"/>
    <w:rsid w:val="006B4711"/>
    <w:rsid w:val="006B47D1"/>
    <w:rsid w:val="006B49EC"/>
    <w:rsid w:val="006B7232"/>
    <w:rsid w:val="006C3D5B"/>
    <w:rsid w:val="006C4BD6"/>
    <w:rsid w:val="006C798E"/>
    <w:rsid w:val="006D1505"/>
    <w:rsid w:val="006D2D0E"/>
    <w:rsid w:val="006D501D"/>
    <w:rsid w:val="006D68B9"/>
    <w:rsid w:val="006D7B9A"/>
    <w:rsid w:val="006E0A63"/>
    <w:rsid w:val="006E232D"/>
    <w:rsid w:val="006E5AFB"/>
    <w:rsid w:val="006F022F"/>
    <w:rsid w:val="006F19BE"/>
    <w:rsid w:val="006F3BB2"/>
    <w:rsid w:val="006F4177"/>
    <w:rsid w:val="006F46D5"/>
    <w:rsid w:val="006F4CDD"/>
    <w:rsid w:val="006F5B24"/>
    <w:rsid w:val="006F5CDB"/>
    <w:rsid w:val="006F628A"/>
    <w:rsid w:val="006F63F0"/>
    <w:rsid w:val="00701F7C"/>
    <w:rsid w:val="007031DB"/>
    <w:rsid w:val="00704032"/>
    <w:rsid w:val="007055EF"/>
    <w:rsid w:val="00705B82"/>
    <w:rsid w:val="0070653C"/>
    <w:rsid w:val="00710002"/>
    <w:rsid w:val="00710E8C"/>
    <w:rsid w:val="007113A9"/>
    <w:rsid w:val="00711BD9"/>
    <w:rsid w:val="00717850"/>
    <w:rsid w:val="00722090"/>
    <w:rsid w:val="007227E6"/>
    <w:rsid w:val="00725464"/>
    <w:rsid w:val="00726448"/>
    <w:rsid w:val="007342CE"/>
    <w:rsid w:val="007403EE"/>
    <w:rsid w:val="007410B0"/>
    <w:rsid w:val="00743195"/>
    <w:rsid w:val="007443C1"/>
    <w:rsid w:val="00747D4C"/>
    <w:rsid w:val="00751C64"/>
    <w:rsid w:val="00753894"/>
    <w:rsid w:val="0075494C"/>
    <w:rsid w:val="00754EF7"/>
    <w:rsid w:val="00756CFE"/>
    <w:rsid w:val="007606DD"/>
    <w:rsid w:val="0076208D"/>
    <w:rsid w:val="0076260F"/>
    <w:rsid w:val="007630A9"/>
    <w:rsid w:val="007633FD"/>
    <w:rsid w:val="007638F9"/>
    <w:rsid w:val="007643CA"/>
    <w:rsid w:val="00765610"/>
    <w:rsid w:val="00770A90"/>
    <w:rsid w:val="00773176"/>
    <w:rsid w:val="00773543"/>
    <w:rsid w:val="00773630"/>
    <w:rsid w:val="00776DA1"/>
    <w:rsid w:val="00785B92"/>
    <w:rsid w:val="00787E33"/>
    <w:rsid w:val="00790319"/>
    <w:rsid w:val="007937B3"/>
    <w:rsid w:val="00795503"/>
    <w:rsid w:val="0079648D"/>
    <w:rsid w:val="007A0079"/>
    <w:rsid w:val="007A0337"/>
    <w:rsid w:val="007A1C3F"/>
    <w:rsid w:val="007A1E5B"/>
    <w:rsid w:val="007A1F1E"/>
    <w:rsid w:val="007A3171"/>
    <w:rsid w:val="007A44A3"/>
    <w:rsid w:val="007A4D0D"/>
    <w:rsid w:val="007A6C44"/>
    <w:rsid w:val="007B0840"/>
    <w:rsid w:val="007B1ACB"/>
    <w:rsid w:val="007B224E"/>
    <w:rsid w:val="007B7DAE"/>
    <w:rsid w:val="007C01DB"/>
    <w:rsid w:val="007C05DD"/>
    <w:rsid w:val="007C0B04"/>
    <w:rsid w:val="007C27A3"/>
    <w:rsid w:val="007C3D35"/>
    <w:rsid w:val="007C68B0"/>
    <w:rsid w:val="007D0F1E"/>
    <w:rsid w:val="007D3C60"/>
    <w:rsid w:val="007D3CED"/>
    <w:rsid w:val="007D558F"/>
    <w:rsid w:val="007D5AE4"/>
    <w:rsid w:val="007D62F3"/>
    <w:rsid w:val="007D6A9B"/>
    <w:rsid w:val="007E0342"/>
    <w:rsid w:val="007E0958"/>
    <w:rsid w:val="007E2312"/>
    <w:rsid w:val="007E5693"/>
    <w:rsid w:val="007F0537"/>
    <w:rsid w:val="007F0FAC"/>
    <w:rsid w:val="007F2739"/>
    <w:rsid w:val="007F2D2A"/>
    <w:rsid w:val="007F5759"/>
    <w:rsid w:val="007F5F14"/>
    <w:rsid w:val="00802170"/>
    <w:rsid w:val="00802700"/>
    <w:rsid w:val="00803DBA"/>
    <w:rsid w:val="008047BA"/>
    <w:rsid w:val="00807805"/>
    <w:rsid w:val="00811574"/>
    <w:rsid w:val="008120A8"/>
    <w:rsid w:val="00814E5D"/>
    <w:rsid w:val="00816F31"/>
    <w:rsid w:val="0081766A"/>
    <w:rsid w:val="00817E2E"/>
    <w:rsid w:val="008200BC"/>
    <w:rsid w:val="008244A9"/>
    <w:rsid w:val="00830101"/>
    <w:rsid w:val="00833BF1"/>
    <w:rsid w:val="00834C36"/>
    <w:rsid w:val="0083525B"/>
    <w:rsid w:val="008355C3"/>
    <w:rsid w:val="00837744"/>
    <w:rsid w:val="00841515"/>
    <w:rsid w:val="00841EC2"/>
    <w:rsid w:val="00845C4D"/>
    <w:rsid w:val="00852D4D"/>
    <w:rsid w:val="008547E3"/>
    <w:rsid w:val="0086330D"/>
    <w:rsid w:val="00865A3D"/>
    <w:rsid w:val="00870770"/>
    <w:rsid w:val="00870E75"/>
    <w:rsid w:val="00883D0F"/>
    <w:rsid w:val="0088675A"/>
    <w:rsid w:val="008871E4"/>
    <w:rsid w:val="00891CDD"/>
    <w:rsid w:val="00893A00"/>
    <w:rsid w:val="0089634A"/>
    <w:rsid w:val="008A19F0"/>
    <w:rsid w:val="008A2234"/>
    <w:rsid w:val="008B46C9"/>
    <w:rsid w:val="008B5198"/>
    <w:rsid w:val="008B6FB8"/>
    <w:rsid w:val="008B70BA"/>
    <w:rsid w:val="008C0E46"/>
    <w:rsid w:val="008C1469"/>
    <w:rsid w:val="008C19A6"/>
    <w:rsid w:val="008C386E"/>
    <w:rsid w:val="008C542E"/>
    <w:rsid w:val="008C7C63"/>
    <w:rsid w:val="008D0DD5"/>
    <w:rsid w:val="008D3A54"/>
    <w:rsid w:val="008D5574"/>
    <w:rsid w:val="008D6FD0"/>
    <w:rsid w:val="008D7963"/>
    <w:rsid w:val="008E623B"/>
    <w:rsid w:val="008F3F59"/>
    <w:rsid w:val="008F44D0"/>
    <w:rsid w:val="008F5420"/>
    <w:rsid w:val="008F671F"/>
    <w:rsid w:val="008F71C4"/>
    <w:rsid w:val="008F7EF2"/>
    <w:rsid w:val="0090558B"/>
    <w:rsid w:val="00905E92"/>
    <w:rsid w:val="009064F1"/>
    <w:rsid w:val="00907306"/>
    <w:rsid w:val="00911500"/>
    <w:rsid w:val="00912A50"/>
    <w:rsid w:val="0091448A"/>
    <w:rsid w:val="00915306"/>
    <w:rsid w:val="009157D5"/>
    <w:rsid w:val="009162EF"/>
    <w:rsid w:val="00916672"/>
    <w:rsid w:val="00916B2B"/>
    <w:rsid w:val="009237AB"/>
    <w:rsid w:val="00926BF4"/>
    <w:rsid w:val="009324AF"/>
    <w:rsid w:val="009329C2"/>
    <w:rsid w:val="00932AFB"/>
    <w:rsid w:val="0093340F"/>
    <w:rsid w:val="00947682"/>
    <w:rsid w:val="0095360E"/>
    <w:rsid w:val="00954422"/>
    <w:rsid w:val="00954B04"/>
    <w:rsid w:val="00954E98"/>
    <w:rsid w:val="0095607D"/>
    <w:rsid w:val="0095745D"/>
    <w:rsid w:val="00957794"/>
    <w:rsid w:val="009619BC"/>
    <w:rsid w:val="00963542"/>
    <w:rsid w:val="009642E3"/>
    <w:rsid w:val="00970341"/>
    <w:rsid w:val="009709B5"/>
    <w:rsid w:val="00974497"/>
    <w:rsid w:val="009764A7"/>
    <w:rsid w:val="0097779C"/>
    <w:rsid w:val="00977D10"/>
    <w:rsid w:val="00981159"/>
    <w:rsid w:val="00981A9A"/>
    <w:rsid w:val="0098788F"/>
    <w:rsid w:val="00990C2A"/>
    <w:rsid w:val="0099781F"/>
    <w:rsid w:val="009A0973"/>
    <w:rsid w:val="009A1CC4"/>
    <w:rsid w:val="009A4031"/>
    <w:rsid w:val="009A6266"/>
    <w:rsid w:val="009A6441"/>
    <w:rsid w:val="009B0FCD"/>
    <w:rsid w:val="009B1C18"/>
    <w:rsid w:val="009B4569"/>
    <w:rsid w:val="009C0E3F"/>
    <w:rsid w:val="009C1251"/>
    <w:rsid w:val="009C12E9"/>
    <w:rsid w:val="009C42E3"/>
    <w:rsid w:val="009C44E9"/>
    <w:rsid w:val="009C5226"/>
    <w:rsid w:val="009D4F4E"/>
    <w:rsid w:val="009E09D4"/>
    <w:rsid w:val="009E1450"/>
    <w:rsid w:val="009E18B5"/>
    <w:rsid w:val="009E56BD"/>
    <w:rsid w:val="009E6CE6"/>
    <w:rsid w:val="009F41F9"/>
    <w:rsid w:val="009F4CC0"/>
    <w:rsid w:val="009F7426"/>
    <w:rsid w:val="00A0425F"/>
    <w:rsid w:val="00A0474B"/>
    <w:rsid w:val="00A04A66"/>
    <w:rsid w:val="00A05ECB"/>
    <w:rsid w:val="00A074A0"/>
    <w:rsid w:val="00A07CAE"/>
    <w:rsid w:val="00A17FDF"/>
    <w:rsid w:val="00A20C67"/>
    <w:rsid w:val="00A22391"/>
    <w:rsid w:val="00A22E5E"/>
    <w:rsid w:val="00A23176"/>
    <w:rsid w:val="00A24FF9"/>
    <w:rsid w:val="00A27A0B"/>
    <w:rsid w:val="00A27C02"/>
    <w:rsid w:val="00A3091A"/>
    <w:rsid w:val="00A32B6D"/>
    <w:rsid w:val="00A40216"/>
    <w:rsid w:val="00A40935"/>
    <w:rsid w:val="00A40AFD"/>
    <w:rsid w:val="00A41C68"/>
    <w:rsid w:val="00A43901"/>
    <w:rsid w:val="00A45074"/>
    <w:rsid w:val="00A45E30"/>
    <w:rsid w:val="00A463D6"/>
    <w:rsid w:val="00A50C1D"/>
    <w:rsid w:val="00A54A2F"/>
    <w:rsid w:val="00A558DA"/>
    <w:rsid w:val="00A57281"/>
    <w:rsid w:val="00A62124"/>
    <w:rsid w:val="00A653D9"/>
    <w:rsid w:val="00A71782"/>
    <w:rsid w:val="00A72F6C"/>
    <w:rsid w:val="00A75DCE"/>
    <w:rsid w:val="00A85EB2"/>
    <w:rsid w:val="00A863D2"/>
    <w:rsid w:val="00A86F24"/>
    <w:rsid w:val="00A86FED"/>
    <w:rsid w:val="00A873A1"/>
    <w:rsid w:val="00A874D1"/>
    <w:rsid w:val="00A91B5C"/>
    <w:rsid w:val="00A94A41"/>
    <w:rsid w:val="00AA0087"/>
    <w:rsid w:val="00AA5658"/>
    <w:rsid w:val="00AA69A7"/>
    <w:rsid w:val="00AA6A56"/>
    <w:rsid w:val="00AB1400"/>
    <w:rsid w:val="00AB4271"/>
    <w:rsid w:val="00AB4D19"/>
    <w:rsid w:val="00AB505B"/>
    <w:rsid w:val="00AB5C64"/>
    <w:rsid w:val="00AC107D"/>
    <w:rsid w:val="00AC2A53"/>
    <w:rsid w:val="00AD17D1"/>
    <w:rsid w:val="00AD2190"/>
    <w:rsid w:val="00AD3769"/>
    <w:rsid w:val="00AD551A"/>
    <w:rsid w:val="00AE0C73"/>
    <w:rsid w:val="00AE0FFF"/>
    <w:rsid w:val="00AE27BD"/>
    <w:rsid w:val="00AE3250"/>
    <w:rsid w:val="00AF592B"/>
    <w:rsid w:val="00B003CA"/>
    <w:rsid w:val="00B008DF"/>
    <w:rsid w:val="00B0130D"/>
    <w:rsid w:val="00B01491"/>
    <w:rsid w:val="00B038D5"/>
    <w:rsid w:val="00B03B20"/>
    <w:rsid w:val="00B12A66"/>
    <w:rsid w:val="00B12ABD"/>
    <w:rsid w:val="00B15E94"/>
    <w:rsid w:val="00B175DE"/>
    <w:rsid w:val="00B202D4"/>
    <w:rsid w:val="00B22C95"/>
    <w:rsid w:val="00B252C0"/>
    <w:rsid w:val="00B31259"/>
    <w:rsid w:val="00B31361"/>
    <w:rsid w:val="00B35966"/>
    <w:rsid w:val="00B41B7C"/>
    <w:rsid w:val="00B42476"/>
    <w:rsid w:val="00B42996"/>
    <w:rsid w:val="00B42E5A"/>
    <w:rsid w:val="00B430B7"/>
    <w:rsid w:val="00B433CA"/>
    <w:rsid w:val="00B45BA0"/>
    <w:rsid w:val="00B46390"/>
    <w:rsid w:val="00B47BB3"/>
    <w:rsid w:val="00B5026A"/>
    <w:rsid w:val="00B50C3C"/>
    <w:rsid w:val="00B533A1"/>
    <w:rsid w:val="00B5454C"/>
    <w:rsid w:val="00B56916"/>
    <w:rsid w:val="00B6077C"/>
    <w:rsid w:val="00B60FBA"/>
    <w:rsid w:val="00B62D4D"/>
    <w:rsid w:val="00B63A78"/>
    <w:rsid w:val="00B70943"/>
    <w:rsid w:val="00B70C1A"/>
    <w:rsid w:val="00B73CCF"/>
    <w:rsid w:val="00B748F2"/>
    <w:rsid w:val="00B7564D"/>
    <w:rsid w:val="00B765FC"/>
    <w:rsid w:val="00B85AA0"/>
    <w:rsid w:val="00B94F94"/>
    <w:rsid w:val="00B960A4"/>
    <w:rsid w:val="00B960E8"/>
    <w:rsid w:val="00BA0F12"/>
    <w:rsid w:val="00BA447F"/>
    <w:rsid w:val="00BB12C3"/>
    <w:rsid w:val="00BB1E7D"/>
    <w:rsid w:val="00BB375B"/>
    <w:rsid w:val="00BB383A"/>
    <w:rsid w:val="00BB3C3F"/>
    <w:rsid w:val="00BB443F"/>
    <w:rsid w:val="00BB5340"/>
    <w:rsid w:val="00BC0ACA"/>
    <w:rsid w:val="00BC1F0F"/>
    <w:rsid w:val="00BC44D2"/>
    <w:rsid w:val="00BC4FC3"/>
    <w:rsid w:val="00BC58F0"/>
    <w:rsid w:val="00BD1822"/>
    <w:rsid w:val="00BD2AE4"/>
    <w:rsid w:val="00BE0AFE"/>
    <w:rsid w:val="00BE2063"/>
    <w:rsid w:val="00BE3360"/>
    <w:rsid w:val="00BE4E2E"/>
    <w:rsid w:val="00BE7244"/>
    <w:rsid w:val="00BF2468"/>
    <w:rsid w:val="00BF27BC"/>
    <w:rsid w:val="00C04F3D"/>
    <w:rsid w:val="00C07C62"/>
    <w:rsid w:val="00C07FB1"/>
    <w:rsid w:val="00C114C8"/>
    <w:rsid w:val="00C11A78"/>
    <w:rsid w:val="00C12BA0"/>
    <w:rsid w:val="00C17084"/>
    <w:rsid w:val="00C2076F"/>
    <w:rsid w:val="00C23342"/>
    <w:rsid w:val="00C27E3E"/>
    <w:rsid w:val="00C30A78"/>
    <w:rsid w:val="00C3112A"/>
    <w:rsid w:val="00C3224A"/>
    <w:rsid w:val="00C334DC"/>
    <w:rsid w:val="00C364F9"/>
    <w:rsid w:val="00C36DDE"/>
    <w:rsid w:val="00C41B33"/>
    <w:rsid w:val="00C4249B"/>
    <w:rsid w:val="00C44B02"/>
    <w:rsid w:val="00C45A77"/>
    <w:rsid w:val="00C5156E"/>
    <w:rsid w:val="00C531BB"/>
    <w:rsid w:val="00C62778"/>
    <w:rsid w:val="00C653E2"/>
    <w:rsid w:val="00C65A3E"/>
    <w:rsid w:val="00C7296A"/>
    <w:rsid w:val="00C74633"/>
    <w:rsid w:val="00C750E9"/>
    <w:rsid w:val="00C76FE9"/>
    <w:rsid w:val="00C7753F"/>
    <w:rsid w:val="00C816FD"/>
    <w:rsid w:val="00C857FC"/>
    <w:rsid w:val="00C91396"/>
    <w:rsid w:val="00C9228E"/>
    <w:rsid w:val="00C92A10"/>
    <w:rsid w:val="00C92D54"/>
    <w:rsid w:val="00C942F3"/>
    <w:rsid w:val="00C94DA5"/>
    <w:rsid w:val="00C9634E"/>
    <w:rsid w:val="00CA1ED3"/>
    <w:rsid w:val="00CA3E62"/>
    <w:rsid w:val="00CA5060"/>
    <w:rsid w:val="00CB5209"/>
    <w:rsid w:val="00CB6382"/>
    <w:rsid w:val="00CB6F6E"/>
    <w:rsid w:val="00CB71BA"/>
    <w:rsid w:val="00CB78AB"/>
    <w:rsid w:val="00CD2CE3"/>
    <w:rsid w:val="00CD37BE"/>
    <w:rsid w:val="00CD4C27"/>
    <w:rsid w:val="00CD5D3D"/>
    <w:rsid w:val="00CD7510"/>
    <w:rsid w:val="00CE35D2"/>
    <w:rsid w:val="00CE4757"/>
    <w:rsid w:val="00CE66B0"/>
    <w:rsid w:val="00CE74BE"/>
    <w:rsid w:val="00CF2A69"/>
    <w:rsid w:val="00CF74F2"/>
    <w:rsid w:val="00CF7965"/>
    <w:rsid w:val="00D01149"/>
    <w:rsid w:val="00D05B8D"/>
    <w:rsid w:val="00D07AE0"/>
    <w:rsid w:val="00D11725"/>
    <w:rsid w:val="00D13F42"/>
    <w:rsid w:val="00D15A3D"/>
    <w:rsid w:val="00D15AD7"/>
    <w:rsid w:val="00D17921"/>
    <w:rsid w:val="00D200FB"/>
    <w:rsid w:val="00D25D8E"/>
    <w:rsid w:val="00D2738C"/>
    <w:rsid w:val="00D40778"/>
    <w:rsid w:val="00D40E86"/>
    <w:rsid w:val="00D411B1"/>
    <w:rsid w:val="00D41B17"/>
    <w:rsid w:val="00D43089"/>
    <w:rsid w:val="00D47C08"/>
    <w:rsid w:val="00D529B5"/>
    <w:rsid w:val="00D53A04"/>
    <w:rsid w:val="00D542D8"/>
    <w:rsid w:val="00D56223"/>
    <w:rsid w:val="00D57D3A"/>
    <w:rsid w:val="00D62006"/>
    <w:rsid w:val="00D646E7"/>
    <w:rsid w:val="00D64878"/>
    <w:rsid w:val="00D651AD"/>
    <w:rsid w:val="00D667D5"/>
    <w:rsid w:val="00D701F4"/>
    <w:rsid w:val="00D70A93"/>
    <w:rsid w:val="00D70BE1"/>
    <w:rsid w:val="00D72029"/>
    <w:rsid w:val="00D742DB"/>
    <w:rsid w:val="00D75981"/>
    <w:rsid w:val="00D76750"/>
    <w:rsid w:val="00D77373"/>
    <w:rsid w:val="00D8011B"/>
    <w:rsid w:val="00D80536"/>
    <w:rsid w:val="00D8088B"/>
    <w:rsid w:val="00D82477"/>
    <w:rsid w:val="00D833CE"/>
    <w:rsid w:val="00D835F7"/>
    <w:rsid w:val="00D85656"/>
    <w:rsid w:val="00D935A8"/>
    <w:rsid w:val="00D94292"/>
    <w:rsid w:val="00D94448"/>
    <w:rsid w:val="00D9461F"/>
    <w:rsid w:val="00D947CC"/>
    <w:rsid w:val="00D958F2"/>
    <w:rsid w:val="00D9632D"/>
    <w:rsid w:val="00D9707C"/>
    <w:rsid w:val="00DA0927"/>
    <w:rsid w:val="00DA3031"/>
    <w:rsid w:val="00DA6742"/>
    <w:rsid w:val="00DA7749"/>
    <w:rsid w:val="00DB0473"/>
    <w:rsid w:val="00DB6C73"/>
    <w:rsid w:val="00DB6D2A"/>
    <w:rsid w:val="00DC0432"/>
    <w:rsid w:val="00DC1138"/>
    <w:rsid w:val="00DC21B5"/>
    <w:rsid w:val="00DC675D"/>
    <w:rsid w:val="00DC6B9E"/>
    <w:rsid w:val="00DD092F"/>
    <w:rsid w:val="00DD14DC"/>
    <w:rsid w:val="00DE0368"/>
    <w:rsid w:val="00DE0DE0"/>
    <w:rsid w:val="00DE2AB2"/>
    <w:rsid w:val="00DE35E8"/>
    <w:rsid w:val="00DE4979"/>
    <w:rsid w:val="00DF0F67"/>
    <w:rsid w:val="00DF1629"/>
    <w:rsid w:val="00DF2143"/>
    <w:rsid w:val="00DF3755"/>
    <w:rsid w:val="00DF41FF"/>
    <w:rsid w:val="00DF4957"/>
    <w:rsid w:val="00DF4B33"/>
    <w:rsid w:val="00DF5DF6"/>
    <w:rsid w:val="00DF60AE"/>
    <w:rsid w:val="00DF7B9E"/>
    <w:rsid w:val="00E0049D"/>
    <w:rsid w:val="00E02F58"/>
    <w:rsid w:val="00E04BA9"/>
    <w:rsid w:val="00E06BC1"/>
    <w:rsid w:val="00E06C01"/>
    <w:rsid w:val="00E107CD"/>
    <w:rsid w:val="00E10C93"/>
    <w:rsid w:val="00E12B6A"/>
    <w:rsid w:val="00E12FB1"/>
    <w:rsid w:val="00E14817"/>
    <w:rsid w:val="00E1676F"/>
    <w:rsid w:val="00E2204A"/>
    <w:rsid w:val="00E22C50"/>
    <w:rsid w:val="00E34174"/>
    <w:rsid w:val="00E347ED"/>
    <w:rsid w:val="00E3513F"/>
    <w:rsid w:val="00E36B4F"/>
    <w:rsid w:val="00E44652"/>
    <w:rsid w:val="00E4522B"/>
    <w:rsid w:val="00E46382"/>
    <w:rsid w:val="00E50A6B"/>
    <w:rsid w:val="00E5172E"/>
    <w:rsid w:val="00E52242"/>
    <w:rsid w:val="00E544FF"/>
    <w:rsid w:val="00E55026"/>
    <w:rsid w:val="00E560DE"/>
    <w:rsid w:val="00E5680E"/>
    <w:rsid w:val="00E56C98"/>
    <w:rsid w:val="00E57DD5"/>
    <w:rsid w:val="00E57EDD"/>
    <w:rsid w:val="00E62043"/>
    <w:rsid w:val="00E634C4"/>
    <w:rsid w:val="00E66A55"/>
    <w:rsid w:val="00E66FED"/>
    <w:rsid w:val="00E679C3"/>
    <w:rsid w:val="00E70610"/>
    <w:rsid w:val="00E71AAA"/>
    <w:rsid w:val="00E7207B"/>
    <w:rsid w:val="00E72515"/>
    <w:rsid w:val="00E72CF3"/>
    <w:rsid w:val="00E76CAE"/>
    <w:rsid w:val="00E80711"/>
    <w:rsid w:val="00E8081D"/>
    <w:rsid w:val="00E85F79"/>
    <w:rsid w:val="00E91379"/>
    <w:rsid w:val="00E91A03"/>
    <w:rsid w:val="00E968FA"/>
    <w:rsid w:val="00EA533F"/>
    <w:rsid w:val="00EB2588"/>
    <w:rsid w:val="00EB2A5C"/>
    <w:rsid w:val="00EB62BB"/>
    <w:rsid w:val="00EC0031"/>
    <w:rsid w:val="00EC296A"/>
    <w:rsid w:val="00EC4246"/>
    <w:rsid w:val="00EC7086"/>
    <w:rsid w:val="00ED4230"/>
    <w:rsid w:val="00ED4989"/>
    <w:rsid w:val="00EE0205"/>
    <w:rsid w:val="00EE0910"/>
    <w:rsid w:val="00EE238D"/>
    <w:rsid w:val="00EE366F"/>
    <w:rsid w:val="00EE396C"/>
    <w:rsid w:val="00EE4B63"/>
    <w:rsid w:val="00EE4CDC"/>
    <w:rsid w:val="00F04658"/>
    <w:rsid w:val="00F05C4C"/>
    <w:rsid w:val="00F11E0B"/>
    <w:rsid w:val="00F141EB"/>
    <w:rsid w:val="00F15785"/>
    <w:rsid w:val="00F170F8"/>
    <w:rsid w:val="00F20103"/>
    <w:rsid w:val="00F20921"/>
    <w:rsid w:val="00F209B2"/>
    <w:rsid w:val="00F26B10"/>
    <w:rsid w:val="00F30021"/>
    <w:rsid w:val="00F303FC"/>
    <w:rsid w:val="00F31ED6"/>
    <w:rsid w:val="00F35027"/>
    <w:rsid w:val="00F36FA3"/>
    <w:rsid w:val="00F4294E"/>
    <w:rsid w:val="00F444BB"/>
    <w:rsid w:val="00F45C57"/>
    <w:rsid w:val="00F52604"/>
    <w:rsid w:val="00F53633"/>
    <w:rsid w:val="00F55974"/>
    <w:rsid w:val="00F55B44"/>
    <w:rsid w:val="00F6086B"/>
    <w:rsid w:val="00F60B05"/>
    <w:rsid w:val="00F641F8"/>
    <w:rsid w:val="00F66B62"/>
    <w:rsid w:val="00F71C31"/>
    <w:rsid w:val="00F763D3"/>
    <w:rsid w:val="00F8042C"/>
    <w:rsid w:val="00F8487C"/>
    <w:rsid w:val="00F85EA1"/>
    <w:rsid w:val="00F871E9"/>
    <w:rsid w:val="00F87227"/>
    <w:rsid w:val="00F92D07"/>
    <w:rsid w:val="00F9418E"/>
    <w:rsid w:val="00F97164"/>
    <w:rsid w:val="00FA05EC"/>
    <w:rsid w:val="00FA0C96"/>
    <w:rsid w:val="00FA1E1F"/>
    <w:rsid w:val="00FA4CC2"/>
    <w:rsid w:val="00FA513C"/>
    <w:rsid w:val="00FA67BE"/>
    <w:rsid w:val="00FB0C06"/>
    <w:rsid w:val="00FB1E19"/>
    <w:rsid w:val="00FB40A4"/>
    <w:rsid w:val="00FB6CD9"/>
    <w:rsid w:val="00FC2F3E"/>
    <w:rsid w:val="00FC3A21"/>
    <w:rsid w:val="00FC71CC"/>
    <w:rsid w:val="00FC769D"/>
    <w:rsid w:val="00FD2395"/>
    <w:rsid w:val="00FD7311"/>
    <w:rsid w:val="00FE0BA3"/>
    <w:rsid w:val="00FE30A4"/>
    <w:rsid w:val="00FE6934"/>
    <w:rsid w:val="00FF36AF"/>
    <w:rsid w:val="00FF383B"/>
    <w:rsid w:val="00FF4F96"/>
    <w:rsid w:val="1CA14F4D"/>
    <w:rsid w:val="4BF649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20"/>
    <w:qFormat/>
    <w:uiPriority w:val="0"/>
    <w:pPr>
      <w:snapToGrid w:val="0"/>
      <w:spacing w:before="0" w:after="0" w:line="600" w:lineRule="exact"/>
      <w:ind w:firstLine="640" w:firstLineChars="200"/>
      <w:jc w:val="both"/>
    </w:pPr>
    <w:rPr>
      <w:rFonts w:ascii="黑体" w:hAnsi="Times new roan" w:eastAsia="黑体" w:cs="Times New Roman"/>
      <w:b w:val="0"/>
      <w:bCs w:val="0"/>
      <w:color w:val="000000" w:themeColor="text1"/>
      <w14:textFill>
        <w14:solidFill>
          <w14:schemeClr w14:val="tx1"/>
        </w14:solidFill>
      </w14:textFill>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21"/>
    <w:qFormat/>
    <w:uiPriority w:val="10"/>
    <w:pPr>
      <w:spacing w:before="240" w:after="60"/>
      <w:jc w:val="center"/>
      <w:outlineLvl w:val="0"/>
    </w:pPr>
    <w:rPr>
      <w:rFonts w:asciiTheme="majorHAnsi" w:hAnsiTheme="majorHAnsi" w:eastAsiaTheme="majorEastAsia" w:cstheme="majorBidi"/>
      <w:b/>
      <w:bCs/>
      <w:sz w:val="32"/>
      <w:szCs w:val="32"/>
    </w:rPr>
  </w:style>
  <w:style w:type="paragraph" w:styleId="4">
    <w:name w:val="annotation text"/>
    <w:basedOn w:val="1"/>
    <w:link w:val="22"/>
    <w:semiHidden/>
    <w:unhideWhenUsed/>
    <w:qFormat/>
    <w:uiPriority w:val="99"/>
    <w:pPr>
      <w:jc w:val="left"/>
    </w:pPr>
  </w:style>
  <w:style w:type="paragraph" w:styleId="5">
    <w:name w:val="Date"/>
    <w:basedOn w:val="1"/>
    <w:next w:val="1"/>
    <w:link w:val="27"/>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0">
    <w:name w:val="annotation subject"/>
    <w:basedOn w:val="4"/>
    <w:next w:val="4"/>
    <w:link w:val="23"/>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annotation reference"/>
    <w:basedOn w:val="13"/>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批注框文本 Char"/>
    <w:basedOn w:val="13"/>
    <w:link w:val="6"/>
    <w:semiHidden/>
    <w:qFormat/>
    <w:uiPriority w:val="99"/>
    <w:rPr>
      <w:sz w:val="18"/>
      <w:szCs w:val="18"/>
    </w:rPr>
  </w:style>
  <w:style w:type="character" w:customStyle="1" w:styleId="18">
    <w:name w:val="页眉 Char"/>
    <w:basedOn w:val="13"/>
    <w:link w:val="8"/>
    <w:qFormat/>
    <w:uiPriority w:val="99"/>
    <w:rPr>
      <w:sz w:val="18"/>
      <w:szCs w:val="18"/>
    </w:rPr>
  </w:style>
  <w:style w:type="character" w:customStyle="1" w:styleId="19">
    <w:name w:val="页脚 Char"/>
    <w:basedOn w:val="13"/>
    <w:link w:val="7"/>
    <w:qFormat/>
    <w:uiPriority w:val="99"/>
    <w:rPr>
      <w:sz w:val="18"/>
      <w:szCs w:val="18"/>
    </w:rPr>
  </w:style>
  <w:style w:type="character" w:customStyle="1" w:styleId="20">
    <w:name w:val="标题 1 Char"/>
    <w:basedOn w:val="13"/>
    <w:link w:val="2"/>
    <w:qFormat/>
    <w:uiPriority w:val="0"/>
    <w:rPr>
      <w:rFonts w:ascii="黑体" w:hAnsi="Times new roan" w:eastAsia="黑体" w:cs="Times New Roman"/>
      <w:color w:val="000000" w:themeColor="text1"/>
      <w:sz w:val="32"/>
      <w:szCs w:val="32"/>
      <w14:textFill>
        <w14:solidFill>
          <w14:schemeClr w14:val="tx1"/>
        </w14:solidFill>
      </w14:textFill>
    </w:rPr>
  </w:style>
  <w:style w:type="character" w:customStyle="1" w:styleId="21">
    <w:name w:val="标题 Char"/>
    <w:basedOn w:val="13"/>
    <w:link w:val="3"/>
    <w:qFormat/>
    <w:uiPriority w:val="10"/>
    <w:rPr>
      <w:rFonts w:asciiTheme="majorHAnsi" w:hAnsiTheme="majorHAnsi" w:eastAsiaTheme="majorEastAsia" w:cstheme="majorBidi"/>
      <w:b/>
      <w:bCs/>
      <w:sz w:val="32"/>
      <w:szCs w:val="32"/>
    </w:rPr>
  </w:style>
  <w:style w:type="character" w:customStyle="1" w:styleId="22">
    <w:name w:val="批注文字 Char"/>
    <w:basedOn w:val="13"/>
    <w:link w:val="4"/>
    <w:semiHidden/>
    <w:qFormat/>
    <w:uiPriority w:val="99"/>
  </w:style>
  <w:style w:type="character" w:customStyle="1" w:styleId="23">
    <w:name w:val="批注主题 Char"/>
    <w:basedOn w:val="22"/>
    <w:link w:val="10"/>
    <w:semiHidden/>
    <w:qFormat/>
    <w:uiPriority w:val="99"/>
    <w:rPr>
      <w:b/>
      <w:bCs/>
    </w:rPr>
  </w:style>
  <w:style w:type="character" w:styleId="24">
    <w:name w:val="Placeholder Text"/>
    <w:basedOn w:val="13"/>
    <w:semiHidden/>
    <w:qFormat/>
    <w:uiPriority w:val="99"/>
    <w:rPr>
      <w:color w:val="808080"/>
    </w:rPr>
  </w:style>
  <w:style w:type="paragraph" w:customStyle="1" w:styleId="25">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6">
    <w:name w:val="正文 New"/>
    <w:qFormat/>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 w:type="character" w:customStyle="1" w:styleId="27">
    <w:name w:val="日期 Char"/>
    <w:basedOn w:val="13"/>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BB0C3-BD9C-4C73-A810-72A44A807F12}">
  <ds:schemaRefs/>
</ds:datastoreItem>
</file>

<file path=docProps/app.xml><?xml version="1.0" encoding="utf-8"?>
<Properties xmlns="http://schemas.openxmlformats.org/officeDocument/2006/extended-properties" xmlns:vt="http://schemas.openxmlformats.org/officeDocument/2006/docPropsVTypes">
  <Template>Normal</Template>
  <Pages>9</Pages>
  <Words>2580</Words>
  <Characters>2607</Characters>
  <Lines>23</Lines>
  <Paragraphs>6</Paragraphs>
  <TotalTime>82</TotalTime>
  <ScaleCrop>false</ScaleCrop>
  <LinksUpToDate>false</LinksUpToDate>
  <CharactersWithSpaces>2647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2022-04-08T02:01:00Z</dcterms:created>
  <dc:creator>c</dc:creator>
  <cp:lastModifiedBy>hxy</cp:lastModifiedBy>
  <cp:lastPrinted>2022-04-25T03:49:00Z</cp:lastPrinted>
  <dcterms:modified xsi:type="dcterms:W3CDTF">2023-07-13T08:57:32Z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BB58A762DCF14010B0BC83AC27387CFC</vt:lpwstr>
  </property>
</Properties>
</file>